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8AD7" w14:textId="1C0F1001" w:rsidR="0039170C" w:rsidRDefault="0039170C">
      <w:r>
        <w:rPr>
          <w:rFonts w:ascii="Arial Black" w:hAnsi="Arial Black"/>
          <w:noProof/>
          <w:color w:val="999999"/>
          <w:sz w:val="36"/>
          <w:szCs w:val="36"/>
          <w:lang w:eastAsia="en-GB"/>
        </w:rPr>
        <w:drawing>
          <wp:inline distT="0" distB="0" distL="0" distR="0" wp14:anchorId="08E5BD40" wp14:editId="7099ED47">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p w14:paraId="5C30C35D" w14:textId="77777777" w:rsidR="0039170C" w:rsidRDefault="0039170C"/>
    <w:tbl>
      <w:tblPr>
        <w:tblStyle w:val="Style1"/>
        <w:tblW w:w="0" w:type="auto"/>
        <w:tblLook w:val="0000" w:firstRow="0" w:lastRow="0" w:firstColumn="0" w:lastColumn="0" w:noHBand="0" w:noVBand="0"/>
        <w:tblCaption w:val="Cabinet report summary details"/>
      </w:tblPr>
      <w:tblGrid>
        <w:gridCol w:w="3456"/>
        <w:gridCol w:w="5054"/>
      </w:tblGrid>
      <w:tr w:rsidR="0039170C" w14:paraId="3D9C612D" w14:textId="77777777" w:rsidTr="00C7295B">
        <w:trPr>
          <w:tblHeader/>
        </w:trPr>
        <w:tc>
          <w:tcPr>
            <w:tcW w:w="3456" w:type="dxa"/>
            <w:tcBorders>
              <w:bottom w:val="single" w:sz="18" w:space="0" w:color="auto"/>
            </w:tcBorders>
          </w:tcPr>
          <w:p w14:paraId="2F51E999" w14:textId="77777777" w:rsidR="0039170C" w:rsidRPr="00B805DB" w:rsidRDefault="0039170C" w:rsidP="00C7295B">
            <w:pPr>
              <w:pStyle w:val="Heading1"/>
              <w:spacing w:after="240"/>
              <w:outlineLvl w:val="0"/>
            </w:pPr>
            <w:r>
              <w:t>Report f</w:t>
            </w:r>
            <w:r w:rsidRPr="00C869F3">
              <w:t>or:</w:t>
            </w:r>
          </w:p>
        </w:tc>
        <w:tc>
          <w:tcPr>
            <w:tcW w:w="5054" w:type="dxa"/>
            <w:tcBorders>
              <w:bottom w:val="single" w:sz="18" w:space="0" w:color="auto"/>
            </w:tcBorders>
          </w:tcPr>
          <w:p w14:paraId="747B69F2" w14:textId="77777777" w:rsidR="0039170C" w:rsidRPr="005E3A10" w:rsidRDefault="0039170C" w:rsidP="00C7295B">
            <w:pPr>
              <w:pStyle w:val="Heading1"/>
              <w:outlineLvl w:val="0"/>
              <w:rPr>
                <w:szCs w:val="24"/>
              </w:rPr>
            </w:pPr>
            <w:r w:rsidRPr="005E3A10">
              <w:t>Cabinet</w:t>
            </w:r>
          </w:p>
        </w:tc>
      </w:tr>
    </w:tbl>
    <w:tbl>
      <w:tblPr>
        <w:tblW w:w="8510" w:type="dxa"/>
        <w:tblLayout w:type="fixed"/>
        <w:tblLook w:val="0000" w:firstRow="0" w:lastRow="0" w:firstColumn="0" w:lastColumn="0" w:noHBand="0" w:noVBand="0"/>
      </w:tblPr>
      <w:tblGrid>
        <w:gridCol w:w="3456"/>
        <w:gridCol w:w="5054"/>
      </w:tblGrid>
      <w:tr w:rsidR="0039170C" w14:paraId="323D10AD" w14:textId="77777777" w:rsidTr="0039170C">
        <w:tc>
          <w:tcPr>
            <w:tcW w:w="3456" w:type="dxa"/>
          </w:tcPr>
          <w:p w14:paraId="06C94C4F" w14:textId="77777777" w:rsidR="0039170C" w:rsidRPr="0039170C" w:rsidRDefault="0039170C" w:rsidP="00C7295B">
            <w:pPr>
              <w:pStyle w:val="Infotext"/>
              <w:rPr>
                <w:rFonts w:ascii="Arial Black" w:hAnsi="Arial Black" w:cs="Arial"/>
              </w:rPr>
            </w:pPr>
            <w:r w:rsidRPr="0039170C">
              <w:rPr>
                <w:rFonts w:ascii="Arial Black" w:hAnsi="Arial Black" w:cs="Arial"/>
              </w:rPr>
              <w:t>Date of Meeting:</w:t>
            </w:r>
          </w:p>
          <w:p w14:paraId="7381226D" w14:textId="77777777" w:rsidR="0039170C" w:rsidRPr="00C13A5F" w:rsidRDefault="0039170C" w:rsidP="00C7295B">
            <w:pPr>
              <w:pStyle w:val="Infotext"/>
              <w:rPr>
                <w:rFonts w:ascii="Arial Black" w:hAnsi="Arial Black" w:cs="Arial"/>
              </w:rPr>
            </w:pPr>
          </w:p>
        </w:tc>
        <w:tc>
          <w:tcPr>
            <w:tcW w:w="5054" w:type="dxa"/>
          </w:tcPr>
          <w:p w14:paraId="3C12A47D" w14:textId="77777777" w:rsidR="0039170C" w:rsidRPr="0039170C" w:rsidRDefault="0039170C" w:rsidP="0039170C">
            <w:pPr>
              <w:pStyle w:val="Infotext"/>
              <w:rPr>
                <w:rFonts w:cs="Arial"/>
                <w:sz w:val="24"/>
                <w:szCs w:val="24"/>
              </w:rPr>
            </w:pPr>
            <w:r w:rsidRPr="0039170C">
              <w:rPr>
                <w:rFonts w:cs="Arial"/>
                <w:sz w:val="24"/>
                <w:szCs w:val="24"/>
              </w:rPr>
              <w:t>27th May 2021</w:t>
            </w:r>
          </w:p>
        </w:tc>
      </w:tr>
      <w:tr w:rsidR="0039170C" w14:paraId="09CAAACB" w14:textId="77777777" w:rsidTr="0039170C">
        <w:tc>
          <w:tcPr>
            <w:tcW w:w="3456" w:type="dxa"/>
          </w:tcPr>
          <w:p w14:paraId="6BB57857" w14:textId="77777777" w:rsidR="0039170C" w:rsidRPr="00C13A5F" w:rsidRDefault="0039170C" w:rsidP="00C7295B">
            <w:pPr>
              <w:pStyle w:val="Infotext"/>
              <w:rPr>
                <w:rFonts w:ascii="Arial Black" w:hAnsi="Arial Black" w:cs="Arial"/>
              </w:rPr>
            </w:pPr>
            <w:r w:rsidRPr="00C13A5F">
              <w:rPr>
                <w:rFonts w:ascii="Arial Black" w:hAnsi="Arial Black" w:cs="Arial"/>
              </w:rPr>
              <w:t>Subject:</w:t>
            </w:r>
          </w:p>
          <w:p w14:paraId="2BD683FD" w14:textId="77777777" w:rsidR="0039170C" w:rsidRPr="0039170C" w:rsidRDefault="0039170C" w:rsidP="00C7295B">
            <w:pPr>
              <w:pStyle w:val="Infotext"/>
              <w:rPr>
                <w:rFonts w:ascii="Arial Black" w:hAnsi="Arial Black" w:cs="Arial"/>
              </w:rPr>
            </w:pPr>
          </w:p>
        </w:tc>
        <w:tc>
          <w:tcPr>
            <w:tcW w:w="5054" w:type="dxa"/>
          </w:tcPr>
          <w:p w14:paraId="5F92476B" w14:textId="77777777" w:rsidR="0039170C" w:rsidRPr="0039170C" w:rsidRDefault="0039170C" w:rsidP="0039170C">
            <w:pPr>
              <w:pStyle w:val="Infotext"/>
              <w:rPr>
                <w:rFonts w:cs="Arial"/>
                <w:sz w:val="24"/>
                <w:szCs w:val="24"/>
              </w:rPr>
            </w:pPr>
            <w:r w:rsidRPr="0039170C">
              <w:rPr>
                <w:rFonts w:cs="Arial"/>
                <w:sz w:val="24"/>
                <w:szCs w:val="24"/>
              </w:rPr>
              <w:t>Renewal of Selective Licensing of private rented accommodation in the Wealdstone Ward</w:t>
            </w:r>
          </w:p>
        </w:tc>
      </w:tr>
      <w:tr w:rsidR="0039170C" w14:paraId="49EF8AE5" w14:textId="77777777" w:rsidTr="0039170C">
        <w:tc>
          <w:tcPr>
            <w:tcW w:w="3456" w:type="dxa"/>
          </w:tcPr>
          <w:p w14:paraId="3F06D5D5" w14:textId="77777777" w:rsidR="0039170C" w:rsidRPr="00C13A5F" w:rsidRDefault="0039170C" w:rsidP="00C7295B">
            <w:pPr>
              <w:pStyle w:val="Infotext"/>
              <w:rPr>
                <w:rFonts w:ascii="Arial Black" w:hAnsi="Arial Black" w:cs="Arial"/>
              </w:rPr>
            </w:pPr>
            <w:r>
              <w:rPr>
                <w:rFonts w:ascii="Arial Black" w:hAnsi="Arial Black" w:cs="Arial"/>
              </w:rPr>
              <w:t>Key Decision:</w:t>
            </w:r>
          </w:p>
          <w:p w14:paraId="04462D0A" w14:textId="77777777" w:rsidR="0039170C" w:rsidRPr="00C13A5F" w:rsidRDefault="0039170C" w:rsidP="00C7295B">
            <w:pPr>
              <w:pStyle w:val="Infotext"/>
              <w:rPr>
                <w:rFonts w:ascii="Arial Black" w:hAnsi="Arial Black" w:cs="Arial"/>
              </w:rPr>
            </w:pPr>
          </w:p>
        </w:tc>
        <w:tc>
          <w:tcPr>
            <w:tcW w:w="5054" w:type="dxa"/>
          </w:tcPr>
          <w:p w14:paraId="133A9840" w14:textId="77777777" w:rsidR="0039170C" w:rsidRPr="0039170C" w:rsidRDefault="0039170C" w:rsidP="00C7295B">
            <w:pPr>
              <w:pStyle w:val="Infotext"/>
              <w:rPr>
                <w:rFonts w:cs="Arial"/>
                <w:sz w:val="24"/>
                <w:szCs w:val="24"/>
              </w:rPr>
            </w:pPr>
            <w:r>
              <w:rPr>
                <w:rFonts w:cs="Arial"/>
                <w:sz w:val="24"/>
                <w:szCs w:val="24"/>
              </w:rPr>
              <w:t>No</w:t>
            </w:r>
          </w:p>
        </w:tc>
      </w:tr>
      <w:tr w:rsidR="0039170C" w14:paraId="0CF85DC9" w14:textId="77777777" w:rsidTr="00C7295B">
        <w:tc>
          <w:tcPr>
            <w:tcW w:w="3456" w:type="dxa"/>
          </w:tcPr>
          <w:p w14:paraId="6E5257F4" w14:textId="77777777" w:rsidR="0039170C" w:rsidRPr="00C13A5F" w:rsidRDefault="0039170C" w:rsidP="00C7295B">
            <w:pPr>
              <w:pStyle w:val="Infotext"/>
              <w:rPr>
                <w:rFonts w:ascii="Arial Black" w:hAnsi="Arial Black" w:cs="Arial"/>
              </w:rPr>
            </w:pPr>
            <w:r w:rsidRPr="00C13A5F">
              <w:rPr>
                <w:rFonts w:ascii="Arial Black" w:hAnsi="Arial Black" w:cs="Arial"/>
              </w:rPr>
              <w:t>Responsible Officer:</w:t>
            </w:r>
          </w:p>
          <w:p w14:paraId="68050ED8" w14:textId="77777777" w:rsidR="0039170C" w:rsidRPr="00C13A5F" w:rsidRDefault="0039170C" w:rsidP="00C7295B">
            <w:pPr>
              <w:pStyle w:val="Infotext"/>
              <w:rPr>
                <w:rFonts w:ascii="Arial Black" w:hAnsi="Arial Black" w:cs="Arial"/>
              </w:rPr>
            </w:pPr>
          </w:p>
        </w:tc>
        <w:tc>
          <w:tcPr>
            <w:tcW w:w="5054" w:type="dxa"/>
          </w:tcPr>
          <w:p w14:paraId="25176131" w14:textId="77777777" w:rsidR="0039170C" w:rsidRPr="005E3A10" w:rsidRDefault="0039170C" w:rsidP="00C7295B">
            <w:pPr>
              <w:pStyle w:val="Infotext"/>
              <w:rPr>
                <w:rFonts w:cs="Arial"/>
                <w:sz w:val="24"/>
                <w:szCs w:val="24"/>
              </w:rPr>
            </w:pPr>
            <w:r>
              <w:rPr>
                <w:rFonts w:cs="Arial"/>
                <w:sz w:val="24"/>
                <w:szCs w:val="24"/>
              </w:rPr>
              <w:t xml:space="preserve">Mark </w:t>
            </w:r>
            <w:proofErr w:type="spellStart"/>
            <w:r>
              <w:rPr>
                <w:rFonts w:cs="Arial"/>
                <w:sz w:val="24"/>
                <w:szCs w:val="24"/>
              </w:rPr>
              <w:t>Billington</w:t>
            </w:r>
            <w:proofErr w:type="spellEnd"/>
            <w:r>
              <w:rPr>
                <w:rFonts w:cs="Arial"/>
                <w:sz w:val="24"/>
                <w:szCs w:val="24"/>
              </w:rPr>
              <w:t>, Acting Corporate Director (Community)</w:t>
            </w:r>
          </w:p>
        </w:tc>
      </w:tr>
      <w:tr w:rsidR="0039170C" w14:paraId="063204E3" w14:textId="77777777" w:rsidTr="00C7295B">
        <w:tc>
          <w:tcPr>
            <w:tcW w:w="3456" w:type="dxa"/>
          </w:tcPr>
          <w:p w14:paraId="2F32985A" w14:textId="77777777" w:rsidR="0039170C" w:rsidRPr="00DB6C3D" w:rsidRDefault="0039170C" w:rsidP="00C7295B">
            <w:pPr>
              <w:pStyle w:val="Infotext"/>
              <w:rPr>
                <w:rFonts w:ascii="Arial Black" w:hAnsi="Arial Black"/>
              </w:rPr>
            </w:pPr>
            <w:r w:rsidRPr="00DB6C3D">
              <w:rPr>
                <w:rFonts w:ascii="Arial Black" w:hAnsi="Arial Black"/>
              </w:rPr>
              <w:t>Portfolio Holder:</w:t>
            </w:r>
          </w:p>
          <w:p w14:paraId="430B6E3E" w14:textId="77777777" w:rsidR="0039170C" w:rsidRPr="00C13A5F" w:rsidRDefault="0039170C" w:rsidP="00C7295B">
            <w:pPr>
              <w:pStyle w:val="BodyText"/>
              <w:rPr>
                <w:rFonts w:ascii="Arial Black" w:hAnsi="Arial Black"/>
              </w:rPr>
            </w:pPr>
          </w:p>
        </w:tc>
        <w:tc>
          <w:tcPr>
            <w:tcW w:w="5054" w:type="dxa"/>
          </w:tcPr>
          <w:p w14:paraId="2891072F" w14:textId="77777777" w:rsidR="0039170C" w:rsidRDefault="0039170C" w:rsidP="00C7295B">
            <w:pPr>
              <w:pStyle w:val="Infotext"/>
              <w:rPr>
                <w:rFonts w:cs="Arial"/>
                <w:sz w:val="24"/>
                <w:szCs w:val="24"/>
              </w:rPr>
            </w:pPr>
            <w:r>
              <w:rPr>
                <w:rFonts w:cs="Arial"/>
                <w:sz w:val="24"/>
                <w:szCs w:val="24"/>
              </w:rPr>
              <w:t xml:space="preserve">Councillor </w:t>
            </w:r>
            <w:proofErr w:type="spellStart"/>
            <w:r>
              <w:rPr>
                <w:rFonts w:cs="Arial"/>
                <w:sz w:val="24"/>
                <w:szCs w:val="24"/>
              </w:rPr>
              <w:t>Peymana</w:t>
            </w:r>
            <w:proofErr w:type="spellEnd"/>
            <w:r>
              <w:rPr>
                <w:rFonts w:cs="Arial"/>
                <w:sz w:val="24"/>
                <w:szCs w:val="24"/>
              </w:rPr>
              <w:t xml:space="preserve"> Assad, Portfolio Holder for Community Cohesion, Crime and Enforcement</w:t>
            </w:r>
          </w:p>
          <w:p w14:paraId="5ECD5490" w14:textId="77777777" w:rsidR="0039170C" w:rsidRPr="005E3A10" w:rsidRDefault="0039170C" w:rsidP="00C7295B">
            <w:pPr>
              <w:pStyle w:val="Infotext"/>
              <w:rPr>
                <w:rFonts w:cs="Arial"/>
                <w:color w:val="FF0000"/>
                <w:sz w:val="24"/>
                <w:szCs w:val="24"/>
              </w:rPr>
            </w:pPr>
          </w:p>
        </w:tc>
      </w:tr>
      <w:tr w:rsidR="0039170C" w14:paraId="78CD1DB8" w14:textId="77777777" w:rsidTr="00C7295B">
        <w:tc>
          <w:tcPr>
            <w:tcW w:w="3456" w:type="dxa"/>
          </w:tcPr>
          <w:p w14:paraId="47F23382" w14:textId="77777777" w:rsidR="0039170C" w:rsidRPr="00DB6C3D" w:rsidRDefault="0039170C" w:rsidP="00C7295B">
            <w:pPr>
              <w:pStyle w:val="Infotext"/>
              <w:rPr>
                <w:rFonts w:ascii="Arial Black" w:hAnsi="Arial Black"/>
              </w:rPr>
            </w:pPr>
            <w:r w:rsidRPr="00DB6C3D">
              <w:rPr>
                <w:rFonts w:ascii="Arial Black" w:hAnsi="Arial Black"/>
              </w:rPr>
              <w:t>Exempt:</w:t>
            </w:r>
          </w:p>
          <w:p w14:paraId="31AEE129" w14:textId="77777777" w:rsidR="0039170C" w:rsidRPr="00C13A5F" w:rsidRDefault="0039170C" w:rsidP="00C7295B">
            <w:pPr>
              <w:pStyle w:val="BodyText"/>
              <w:rPr>
                <w:rFonts w:ascii="Arial Black" w:hAnsi="Arial Black"/>
              </w:rPr>
            </w:pPr>
          </w:p>
        </w:tc>
        <w:tc>
          <w:tcPr>
            <w:tcW w:w="5054" w:type="dxa"/>
          </w:tcPr>
          <w:p w14:paraId="1D00C10E" w14:textId="77777777" w:rsidR="0039170C" w:rsidRPr="005E3A10" w:rsidRDefault="0039170C" w:rsidP="00C7295B">
            <w:pPr>
              <w:pStyle w:val="Infotext"/>
              <w:rPr>
                <w:rFonts w:cs="Arial"/>
                <w:color w:val="FF0000"/>
                <w:sz w:val="24"/>
                <w:szCs w:val="24"/>
              </w:rPr>
            </w:pPr>
            <w:r>
              <w:rPr>
                <w:rFonts w:cs="Arial"/>
                <w:sz w:val="24"/>
                <w:szCs w:val="24"/>
              </w:rPr>
              <w:t>No</w:t>
            </w:r>
          </w:p>
          <w:p w14:paraId="40FB03C9" w14:textId="77777777" w:rsidR="0039170C" w:rsidRPr="005E3A10" w:rsidRDefault="0039170C" w:rsidP="00C7295B">
            <w:pPr>
              <w:pStyle w:val="Infotext"/>
              <w:rPr>
                <w:rFonts w:cs="Arial"/>
                <w:color w:val="FF0000"/>
                <w:sz w:val="24"/>
                <w:szCs w:val="24"/>
              </w:rPr>
            </w:pPr>
          </w:p>
        </w:tc>
      </w:tr>
      <w:tr w:rsidR="0039170C" w14:paraId="31DA4776" w14:textId="77777777" w:rsidTr="00C7295B">
        <w:tc>
          <w:tcPr>
            <w:tcW w:w="3456" w:type="dxa"/>
          </w:tcPr>
          <w:p w14:paraId="6FFA04AA" w14:textId="77777777" w:rsidR="0039170C" w:rsidRPr="00DB6C3D" w:rsidRDefault="0039170C" w:rsidP="00C7295B">
            <w:pPr>
              <w:pStyle w:val="Infotext"/>
              <w:rPr>
                <w:rFonts w:ascii="Arial Black" w:hAnsi="Arial Black"/>
              </w:rPr>
            </w:pPr>
            <w:r w:rsidRPr="00DB6C3D">
              <w:rPr>
                <w:rFonts w:ascii="Arial Black" w:hAnsi="Arial Black"/>
              </w:rPr>
              <w:t>Decision subject to Call-in:</w:t>
            </w:r>
          </w:p>
          <w:p w14:paraId="6591F274" w14:textId="77777777" w:rsidR="0039170C" w:rsidRPr="00C13A5F" w:rsidRDefault="0039170C" w:rsidP="00C7295B">
            <w:pPr>
              <w:pStyle w:val="BodyText"/>
              <w:rPr>
                <w:rFonts w:ascii="Arial Black" w:hAnsi="Arial Black"/>
              </w:rPr>
            </w:pPr>
          </w:p>
        </w:tc>
        <w:tc>
          <w:tcPr>
            <w:tcW w:w="5054" w:type="dxa"/>
          </w:tcPr>
          <w:p w14:paraId="2B0F405B" w14:textId="77777777" w:rsidR="0039170C" w:rsidRPr="005E3A10" w:rsidRDefault="0039170C" w:rsidP="00C7295B">
            <w:pPr>
              <w:rPr>
                <w:rFonts w:cs="Arial"/>
                <w:szCs w:val="24"/>
              </w:rPr>
            </w:pPr>
            <w:r>
              <w:rPr>
                <w:rFonts w:cs="Arial"/>
                <w:szCs w:val="24"/>
              </w:rPr>
              <w:t>Yes</w:t>
            </w:r>
          </w:p>
          <w:p w14:paraId="0324B256" w14:textId="77777777" w:rsidR="0039170C" w:rsidRPr="005E3A10" w:rsidRDefault="0039170C" w:rsidP="00C7295B">
            <w:pPr>
              <w:rPr>
                <w:rFonts w:cs="Arial"/>
                <w:szCs w:val="24"/>
              </w:rPr>
            </w:pPr>
          </w:p>
        </w:tc>
      </w:tr>
      <w:tr w:rsidR="0039170C" w14:paraId="6989E08F" w14:textId="77777777" w:rsidTr="00C7295B">
        <w:tc>
          <w:tcPr>
            <w:tcW w:w="3456" w:type="dxa"/>
          </w:tcPr>
          <w:p w14:paraId="1DF458E2" w14:textId="77777777" w:rsidR="0039170C" w:rsidRDefault="0039170C" w:rsidP="00C7295B">
            <w:pPr>
              <w:pStyle w:val="Infotext"/>
              <w:rPr>
                <w:rFonts w:ascii="Arial Black" w:hAnsi="Arial Black" w:cs="Arial"/>
              </w:rPr>
            </w:pPr>
            <w:r>
              <w:rPr>
                <w:rFonts w:ascii="Arial Black" w:hAnsi="Arial Black" w:cs="Arial"/>
              </w:rPr>
              <w:t>Wards affected:</w:t>
            </w:r>
          </w:p>
          <w:p w14:paraId="42028681" w14:textId="77777777" w:rsidR="0039170C" w:rsidRPr="00C13A5F" w:rsidRDefault="0039170C" w:rsidP="00C7295B">
            <w:pPr>
              <w:pStyle w:val="Infotext"/>
              <w:rPr>
                <w:rFonts w:ascii="Arial Black" w:hAnsi="Arial Black" w:cs="Arial"/>
              </w:rPr>
            </w:pPr>
          </w:p>
        </w:tc>
        <w:tc>
          <w:tcPr>
            <w:tcW w:w="5054" w:type="dxa"/>
          </w:tcPr>
          <w:p w14:paraId="75EEE9BD" w14:textId="77777777" w:rsidR="0039170C" w:rsidRPr="005E3A10" w:rsidRDefault="0039170C" w:rsidP="00C7295B">
            <w:pPr>
              <w:rPr>
                <w:rFonts w:cs="Arial"/>
                <w:szCs w:val="24"/>
              </w:rPr>
            </w:pPr>
            <w:r>
              <w:rPr>
                <w:rFonts w:cs="Arial"/>
                <w:szCs w:val="24"/>
              </w:rPr>
              <w:t>Wealdstone</w:t>
            </w:r>
          </w:p>
        </w:tc>
      </w:tr>
      <w:tr w:rsidR="0039170C" w14:paraId="119E0477" w14:textId="77777777" w:rsidTr="00C7295B">
        <w:tc>
          <w:tcPr>
            <w:tcW w:w="3456" w:type="dxa"/>
          </w:tcPr>
          <w:p w14:paraId="6978B32D" w14:textId="77777777" w:rsidR="0039170C" w:rsidRPr="00C13A5F" w:rsidRDefault="0039170C" w:rsidP="00C7295B">
            <w:pPr>
              <w:pStyle w:val="Infotext"/>
              <w:rPr>
                <w:rFonts w:ascii="Arial Black" w:hAnsi="Arial Black" w:cs="Arial"/>
              </w:rPr>
            </w:pPr>
            <w:r w:rsidRPr="00C13A5F">
              <w:rPr>
                <w:rFonts w:ascii="Arial Black" w:hAnsi="Arial Black" w:cs="Arial"/>
              </w:rPr>
              <w:t>Enclosures:</w:t>
            </w:r>
          </w:p>
        </w:tc>
        <w:tc>
          <w:tcPr>
            <w:tcW w:w="5054" w:type="dxa"/>
          </w:tcPr>
          <w:p w14:paraId="567EAE65" w14:textId="77777777" w:rsidR="0039170C" w:rsidRDefault="0039170C" w:rsidP="00C7295B">
            <w:pPr>
              <w:pStyle w:val="Infotext"/>
              <w:rPr>
                <w:rFonts w:cs="Arial"/>
                <w:sz w:val="24"/>
                <w:szCs w:val="24"/>
              </w:rPr>
            </w:pPr>
            <w:r w:rsidRPr="00273B9B">
              <w:rPr>
                <w:rFonts w:cs="Arial"/>
                <w:b/>
                <w:sz w:val="24"/>
                <w:szCs w:val="24"/>
              </w:rPr>
              <w:t xml:space="preserve">Appendix </w:t>
            </w:r>
            <w:r>
              <w:rPr>
                <w:rFonts w:cs="Arial"/>
                <w:b/>
                <w:sz w:val="24"/>
                <w:szCs w:val="24"/>
              </w:rPr>
              <w:t>A</w:t>
            </w:r>
            <w:r>
              <w:rPr>
                <w:rFonts w:cs="Arial"/>
                <w:sz w:val="24"/>
                <w:szCs w:val="24"/>
              </w:rPr>
              <w:t xml:space="preserve"> – Consultation Responses</w:t>
            </w:r>
          </w:p>
          <w:p w14:paraId="54F54BDB" w14:textId="77777777" w:rsidR="0039170C" w:rsidRPr="00DA538F" w:rsidRDefault="0039170C" w:rsidP="00C7295B">
            <w:pPr>
              <w:pStyle w:val="Infotext"/>
              <w:rPr>
                <w:rFonts w:cs="Arial"/>
                <w:sz w:val="24"/>
                <w:szCs w:val="24"/>
              </w:rPr>
            </w:pPr>
            <w:r w:rsidRPr="00273B9B">
              <w:rPr>
                <w:rFonts w:cs="Arial"/>
                <w:b/>
                <w:sz w:val="24"/>
                <w:szCs w:val="24"/>
              </w:rPr>
              <w:t xml:space="preserve">Appendix </w:t>
            </w:r>
            <w:r>
              <w:rPr>
                <w:rFonts w:cs="Arial"/>
                <w:b/>
                <w:sz w:val="24"/>
                <w:szCs w:val="24"/>
              </w:rPr>
              <w:t>B</w:t>
            </w:r>
            <w:r w:rsidRPr="00DA538F">
              <w:rPr>
                <w:rFonts w:cs="Arial"/>
                <w:sz w:val="24"/>
                <w:szCs w:val="24"/>
              </w:rPr>
              <w:t xml:space="preserve"> – </w:t>
            </w:r>
            <w:r>
              <w:rPr>
                <w:rFonts w:cs="Arial"/>
                <w:sz w:val="24"/>
                <w:szCs w:val="24"/>
              </w:rPr>
              <w:t>Consultation (including forms)</w:t>
            </w:r>
          </w:p>
          <w:p w14:paraId="616BF15D" w14:textId="77777777" w:rsidR="0039170C" w:rsidRDefault="0039170C" w:rsidP="00C7295B">
            <w:pPr>
              <w:pStyle w:val="Infotext"/>
              <w:rPr>
                <w:rFonts w:cs="Arial"/>
                <w:sz w:val="24"/>
                <w:szCs w:val="24"/>
              </w:rPr>
            </w:pPr>
            <w:r w:rsidRPr="00273B9B">
              <w:rPr>
                <w:rFonts w:cs="Arial"/>
                <w:b/>
                <w:sz w:val="24"/>
                <w:szCs w:val="24"/>
              </w:rPr>
              <w:t xml:space="preserve">Appendix </w:t>
            </w:r>
            <w:r>
              <w:rPr>
                <w:rFonts w:cs="Arial"/>
                <w:b/>
                <w:sz w:val="24"/>
                <w:szCs w:val="24"/>
              </w:rPr>
              <w:t>C</w:t>
            </w:r>
            <w:r w:rsidRPr="00DA538F">
              <w:rPr>
                <w:rFonts w:cs="Arial"/>
                <w:sz w:val="24"/>
                <w:szCs w:val="24"/>
              </w:rPr>
              <w:t xml:space="preserve"> – </w:t>
            </w:r>
            <w:r>
              <w:rPr>
                <w:rFonts w:cs="Arial"/>
                <w:sz w:val="24"/>
                <w:szCs w:val="24"/>
              </w:rPr>
              <w:t xml:space="preserve">Designation of Selective </w:t>
            </w:r>
          </w:p>
          <w:p w14:paraId="051770B4" w14:textId="77777777" w:rsidR="0039170C" w:rsidRPr="00DA538F" w:rsidRDefault="0039170C" w:rsidP="00C7295B">
            <w:pPr>
              <w:pStyle w:val="Infotext"/>
              <w:rPr>
                <w:rFonts w:cs="Arial"/>
                <w:sz w:val="24"/>
                <w:szCs w:val="24"/>
              </w:rPr>
            </w:pPr>
            <w:r>
              <w:rPr>
                <w:rFonts w:cs="Arial"/>
                <w:sz w:val="24"/>
                <w:szCs w:val="24"/>
              </w:rPr>
              <w:t xml:space="preserve">                       Licensing</w:t>
            </w:r>
          </w:p>
          <w:p w14:paraId="6F4B5CCA" w14:textId="77777777" w:rsidR="0039170C" w:rsidRDefault="0039170C" w:rsidP="00C7295B">
            <w:pPr>
              <w:pStyle w:val="Infotext"/>
              <w:rPr>
                <w:rFonts w:cs="Arial"/>
                <w:sz w:val="24"/>
                <w:szCs w:val="24"/>
              </w:rPr>
            </w:pPr>
            <w:r w:rsidRPr="00273B9B">
              <w:rPr>
                <w:rFonts w:cs="Arial"/>
                <w:b/>
                <w:sz w:val="24"/>
                <w:szCs w:val="24"/>
              </w:rPr>
              <w:t xml:space="preserve">Appendix </w:t>
            </w:r>
            <w:r>
              <w:rPr>
                <w:rFonts w:cs="Arial"/>
                <w:b/>
                <w:sz w:val="24"/>
                <w:szCs w:val="24"/>
              </w:rPr>
              <w:t>D</w:t>
            </w:r>
            <w:r w:rsidRPr="00DA538F">
              <w:rPr>
                <w:rFonts w:cs="Arial"/>
                <w:sz w:val="24"/>
                <w:szCs w:val="24"/>
              </w:rPr>
              <w:t xml:space="preserve"> – </w:t>
            </w:r>
            <w:r>
              <w:rPr>
                <w:rFonts w:cs="Arial"/>
                <w:sz w:val="24"/>
                <w:szCs w:val="24"/>
              </w:rPr>
              <w:t>Draft Conditions</w:t>
            </w:r>
          </w:p>
          <w:p w14:paraId="3933A273" w14:textId="77777777" w:rsidR="0039170C" w:rsidRDefault="0039170C" w:rsidP="00C7295B">
            <w:pPr>
              <w:pStyle w:val="Infotext"/>
              <w:rPr>
                <w:rFonts w:cs="Arial"/>
                <w:sz w:val="24"/>
                <w:szCs w:val="24"/>
              </w:rPr>
            </w:pPr>
            <w:r w:rsidRPr="00273B9B">
              <w:rPr>
                <w:rFonts w:cs="Arial"/>
                <w:b/>
                <w:sz w:val="24"/>
                <w:szCs w:val="24"/>
              </w:rPr>
              <w:t xml:space="preserve">Appendix </w:t>
            </w:r>
            <w:r>
              <w:rPr>
                <w:rFonts w:cs="Arial"/>
                <w:b/>
                <w:sz w:val="24"/>
                <w:szCs w:val="24"/>
              </w:rPr>
              <w:t>E</w:t>
            </w:r>
            <w:r>
              <w:rPr>
                <w:rFonts w:cs="Arial"/>
                <w:sz w:val="24"/>
                <w:szCs w:val="24"/>
              </w:rPr>
              <w:t xml:space="preserve">- </w:t>
            </w:r>
            <w:r w:rsidRPr="00DA538F">
              <w:rPr>
                <w:rFonts w:cs="Arial"/>
                <w:sz w:val="24"/>
                <w:szCs w:val="24"/>
              </w:rPr>
              <w:t>Equality Impact Assessment</w:t>
            </w:r>
          </w:p>
          <w:p w14:paraId="0CEBF35E" w14:textId="77777777" w:rsidR="0039170C" w:rsidRPr="00DA538F" w:rsidRDefault="0039170C" w:rsidP="00C7295B">
            <w:pPr>
              <w:pStyle w:val="Infotext"/>
              <w:rPr>
                <w:rFonts w:cs="Arial"/>
                <w:sz w:val="24"/>
                <w:szCs w:val="24"/>
              </w:rPr>
            </w:pPr>
          </w:p>
          <w:p w14:paraId="52E40B9A" w14:textId="77777777" w:rsidR="0039170C" w:rsidRPr="005E3A10" w:rsidRDefault="0039170C" w:rsidP="00C7295B">
            <w:pPr>
              <w:pStyle w:val="Infotext"/>
              <w:rPr>
                <w:color w:val="FF0000"/>
                <w:sz w:val="24"/>
                <w:szCs w:val="24"/>
              </w:rPr>
            </w:pPr>
          </w:p>
        </w:tc>
      </w:tr>
    </w:tbl>
    <w:p w14:paraId="3348C35B" w14:textId="77777777" w:rsidR="0039170C" w:rsidRDefault="0039170C"/>
    <w:p w14:paraId="34BAB0BC" w14:textId="77777777" w:rsidR="005E3A10" w:rsidRPr="00344098" w:rsidRDefault="005E3A10" w:rsidP="00333FAA">
      <w:pPr>
        <w:rPr>
          <w:rFonts w:ascii="Arial Black" w:hAnsi="Arial Black" w:cs="Arial"/>
          <w:bCs/>
          <w:sz w:val="36"/>
          <w:szCs w:val="32"/>
        </w:rPr>
        <w:sectPr w:rsidR="005E3A10" w:rsidRPr="00344098" w:rsidSect="005E3A10">
          <w:footerReference w:type="even" r:id="rId12"/>
          <w:footerReference w:type="default" r:id="rId13"/>
          <w:headerReference w:type="first" r:id="rId14"/>
          <w:pgSz w:w="11909" w:h="16834" w:code="9"/>
          <w:pgMar w:top="720" w:right="1800" w:bottom="2736" w:left="1800" w:header="720"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B766D8" w14:paraId="34BAB0BF" w14:textId="77777777" w:rsidTr="00A64C6D">
        <w:tc>
          <w:tcPr>
            <w:tcW w:w="8525" w:type="dxa"/>
            <w:tcBorders>
              <w:top w:val="nil"/>
              <w:left w:val="nil"/>
              <w:right w:val="nil"/>
            </w:tcBorders>
          </w:tcPr>
          <w:p w14:paraId="34BAB0BD" w14:textId="77777777" w:rsidR="00CA1467" w:rsidRDefault="00031C54" w:rsidP="00A64C6D">
            <w:pPr>
              <w:pStyle w:val="Heading1"/>
            </w:pPr>
            <w:r>
              <w:lastRenderedPageBreak/>
              <w:t>Section 1 – Summary and Recommendations</w:t>
            </w:r>
          </w:p>
          <w:p w14:paraId="34BAB0BE" w14:textId="77777777" w:rsidR="00CA1467" w:rsidRDefault="00CA1467" w:rsidP="00A64C6D"/>
        </w:tc>
      </w:tr>
      <w:tr w:rsidR="00B766D8" w14:paraId="34BAB0D2" w14:textId="77777777" w:rsidTr="00A64C6D">
        <w:tc>
          <w:tcPr>
            <w:tcW w:w="8525" w:type="dxa"/>
          </w:tcPr>
          <w:p w14:paraId="34BAB0C0" w14:textId="77777777" w:rsidR="00CA1467" w:rsidRDefault="00CA1467" w:rsidP="00A64C6D"/>
          <w:p w14:paraId="34BAB0C1" w14:textId="77777777" w:rsidR="00CA1467" w:rsidRPr="009F071A" w:rsidRDefault="00031C54" w:rsidP="00A64C6D">
            <w:r w:rsidRPr="009F071A">
              <w:t xml:space="preserve">This report </w:t>
            </w:r>
            <w:r>
              <w:t>proposes the</w:t>
            </w:r>
            <w:r w:rsidRPr="009F071A">
              <w:t xml:space="preserve"> </w:t>
            </w:r>
            <w:r>
              <w:t>re-</w:t>
            </w:r>
            <w:r w:rsidRPr="009F071A">
              <w:t>introduc</w:t>
            </w:r>
            <w:r>
              <w:t xml:space="preserve">tion of </w:t>
            </w:r>
            <w:r w:rsidRPr="009F071A">
              <w:t xml:space="preserve">a Selective Licensing Scheme in the ward of </w:t>
            </w:r>
            <w:r w:rsidR="00971BFA">
              <w:t>Wealdstone</w:t>
            </w:r>
            <w:r>
              <w:t xml:space="preserve"> (which previously had one)</w:t>
            </w:r>
            <w:r w:rsidRPr="009F071A">
              <w:t xml:space="preserve">, </w:t>
            </w:r>
            <w:r>
              <w:t xml:space="preserve">which would </w:t>
            </w:r>
            <w:r w:rsidRPr="009F071A">
              <w:t>requir</w:t>
            </w:r>
            <w:r>
              <w:t>e</w:t>
            </w:r>
            <w:r w:rsidRPr="009F071A">
              <w:t xml:space="preserve"> private rented accommodation to be licensed and meet conditions</w:t>
            </w:r>
            <w:r>
              <w:t>, in order</w:t>
            </w:r>
            <w:r w:rsidRPr="009F071A">
              <w:t xml:space="preserve"> to address significant and persistent problems with anti-social behaviour</w:t>
            </w:r>
            <w:r>
              <w:t xml:space="preserve"> in that area.</w:t>
            </w:r>
          </w:p>
          <w:p w14:paraId="34BAB0C2" w14:textId="77777777" w:rsidR="00CA1467" w:rsidRDefault="00CA1467" w:rsidP="00A64C6D">
            <w:pPr>
              <w:pStyle w:val="Heading2"/>
            </w:pPr>
          </w:p>
          <w:p w14:paraId="34BAB0C3" w14:textId="77777777" w:rsidR="00CA1467" w:rsidRDefault="00031C54" w:rsidP="00A64C6D">
            <w:pPr>
              <w:pStyle w:val="Heading2"/>
            </w:pPr>
            <w:r>
              <w:t xml:space="preserve">Recommendations: </w:t>
            </w:r>
          </w:p>
          <w:p w14:paraId="34BAB0C4" w14:textId="77777777" w:rsidR="00CA1467" w:rsidRPr="003F2FD4" w:rsidRDefault="00CA1467" w:rsidP="00A64C6D"/>
          <w:p w14:paraId="34BAB0C5" w14:textId="77777777" w:rsidR="00CA1467" w:rsidRPr="00C27BF5" w:rsidRDefault="00031C54" w:rsidP="00A64C6D">
            <w:pPr>
              <w:pStyle w:val="BodyTextIndent2"/>
              <w:ind w:left="0"/>
              <w:rPr>
                <w:szCs w:val="22"/>
              </w:rPr>
            </w:pPr>
            <w:r w:rsidRPr="00C27BF5">
              <w:rPr>
                <w:szCs w:val="22"/>
              </w:rPr>
              <w:t>Cabinet is requested to:</w:t>
            </w:r>
          </w:p>
          <w:p w14:paraId="34BAB0C6" w14:textId="6116BF76" w:rsidR="00CA1467" w:rsidRDefault="00031C54" w:rsidP="001D6997">
            <w:pPr>
              <w:pStyle w:val="BodyTextIndent2"/>
              <w:numPr>
                <w:ilvl w:val="0"/>
                <w:numId w:val="1"/>
              </w:numPr>
              <w:spacing w:after="0" w:line="240" w:lineRule="auto"/>
              <w:rPr>
                <w:szCs w:val="22"/>
              </w:rPr>
            </w:pPr>
            <w:r>
              <w:rPr>
                <w:szCs w:val="22"/>
              </w:rPr>
              <w:t xml:space="preserve">Consider the evidence, consultation responses and other information forming part of this report and determine whether the </w:t>
            </w:r>
            <w:r w:rsidR="00971BFA">
              <w:rPr>
                <w:szCs w:val="22"/>
              </w:rPr>
              <w:t>Wealdstone</w:t>
            </w:r>
            <w:r>
              <w:rPr>
                <w:szCs w:val="22"/>
              </w:rPr>
              <w:t xml:space="preserve"> ward (</w:t>
            </w:r>
            <w:r w:rsidRPr="00C27BF5">
              <w:rPr>
                <w:szCs w:val="22"/>
              </w:rPr>
              <w:t xml:space="preserve">as delineated and edged in red on the map at </w:t>
            </w:r>
            <w:r w:rsidRPr="00A45797">
              <w:rPr>
                <w:b/>
                <w:szCs w:val="22"/>
              </w:rPr>
              <w:t xml:space="preserve">Appendix </w:t>
            </w:r>
            <w:r w:rsidR="009817B4">
              <w:rPr>
                <w:b/>
                <w:szCs w:val="22"/>
              </w:rPr>
              <w:t>C</w:t>
            </w:r>
            <w:r>
              <w:rPr>
                <w:szCs w:val="22"/>
              </w:rPr>
              <w:t xml:space="preserve">) should </w:t>
            </w:r>
            <w:r w:rsidR="00E23E93">
              <w:rPr>
                <w:szCs w:val="22"/>
              </w:rPr>
              <w:t xml:space="preserve">again </w:t>
            </w:r>
            <w:r>
              <w:rPr>
                <w:szCs w:val="22"/>
              </w:rPr>
              <w:t xml:space="preserve">be </w:t>
            </w:r>
            <w:r w:rsidRPr="00C27BF5">
              <w:rPr>
                <w:szCs w:val="22"/>
              </w:rPr>
              <w:t>designat</w:t>
            </w:r>
            <w:r>
              <w:rPr>
                <w:szCs w:val="22"/>
              </w:rPr>
              <w:t>ed</w:t>
            </w:r>
            <w:r w:rsidRPr="00C27BF5">
              <w:rPr>
                <w:szCs w:val="22"/>
              </w:rPr>
              <w:t xml:space="preserve"> </w:t>
            </w:r>
            <w:r>
              <w:rPr>
                <w:szCs w:val="22"/>
              </w:rPr>
              <w:t xml:space="preserve">as being subject to </w:t>
            </w:r>
            <w:r w:rsidRPr="00C27BF5">
              <w:rPr>
                <w:szCs w:val="22"/>
              </w:rPr>
              <w:t>Selective Licensing</w:t>
            </w:r>
            <w:r>
              <w:rPr>
                <w:szCs w:val="22"/>
              </w:rPr>
              <w:t>.</w:t>
            </w:r>
          </w:p>
          <w:p w14:paraId="34BAB0C7" w14:textId="40BBEA82" w:rsidR="00CA1467" w:rsidRPr="00C27BF5" w:rsidRDefault="00031C54" w:rsidP="001D6997">
            <w:pPr>
              <w:pStyle w:val="BodyTextIndent2"/>
              <w:numPr>
                <w:ilvl w:val="0"/>
                <w:numId w:val="1"/>
              </w:numPr>
              <w:spacing w:after="0" w:line="240" w:lineRule="auto"/>
              <w:rPr>
                <w:szCs w:val="22"/>
              </w:rPr>
            </w:pPr>
            <w:r>
              <w:rPr>
                <w:szCs w:val="22"/>
              </w:rPr>
              <w:t xml:space="preserve">If the </w:t>
            </w:r>
            <w:r w:rsidR="00971BFA">
              <w:rPr>
                <w:szCs w:val="22"/>
              </w:rPr>
              <w:t>Wealdstone</w:t>
            </w:r>
            <w:r>
              <w:rPr>
                <w:szCs w:val="22"/>
              </w:rPr>
              <w:t xml:space="preserve"> ward is to </w:t>
            </w:r>
            <w:r w:rsidR="00E23E93">
              <w:rPr>
                <w:szCs w:val="22"/>
              </w:rPr>
              <w:t>be</w:t>
            </w:r>
            <w:r>
              <w:rPr>
                <w:szCs w:val="22"/>
              </w:rPr>
              <w:t xml:space="preserve"> designated </w:t>
            </w:r>
            <w:r w:rsidR="00E23E93">
              <w:rPr>
                <w:szCs w:val="22"/>
              </w:rPr>
              <w:t xml:space="preserve">again </w:t>
            </w:r>
            <w:r>
              <w:rPr>
                <w:szCs w:val="22"/>
              </w:rPr>
              <w:t>as being subject to selective licensing, confirm that t</w:t>
            </w:r>
            <w:r w:rsidRPr="00C27BF5">
              <w:rPr>
                <w:szCs w:val="22"/>
              </w:rPr>
              <w:t xml:space="preserve">he designation </w:t>
            </w:r>
            <w:r>
              <w:rPr>
                <w:szCs w:val="22"/>
              </w:rPr>
              <w:t xml:space="preserve">is </w:t>
            </w:r>
            <w:r w:rsidRPr="00C27BF5">
              <w:rPr>
                <w:szCs w:val="22"/>
              </w:rPr>
              <w:t xml:space="preserve">to take effect from </w:t>
            </w:r>
            <w:r w:rsidR="00CC604C">
              <w:rPr>
                <w:b/>
                <w:bCs/>
                <w:szCs w:val="22"/>
              </w:rPr>
              <w:t>2</w:t>
            </w:r>
            <w:r w:rsidR="00CC604C" w:rsidRPr="00CC604C">
              <w:rPr>
                <w:b/>
                <w:bCs/>
                <w:szCs w:val="22"/>
                <w:vertAlign w:val="superscript"/>
              </w:rPr>
              <w:t>nd</w:t>
            </w:r>
            <w:r w:rsidR="00CC604C">
              <w:rPr>
                <w:b/>
                <w:bCs/>
                <w:szCs w:val="22"/>
              </w:rPr>
              <w:t xml:space="preserve"> September</w:t>
            </w:r>
            <w:r>
              <w:rPr>
                <w:szCs w:val="22"/>
              </w:rPr>
              <w:t xml:space="preserve"> for a period</w:t>
            </w:r>
            <w:r w:rsidRPr="00C27BF5">
              <w:rPr>
                <w:szCs w:val="22"/>
              </w:rPr>
              <w:t xml:space="preserve"> </w:t>
            </w:r>
            <w:r>
              <w:rPr>
                <w:szCs w:val="22"/>
              </w:rPr>
              <w:t>o</w:t>
            </w:r>
            <w:r w:rsidRPr="00C27BF5">
              <w:rPr>
                <w:szCs w:val="22"/>
              </w:rPr>
              <w:t>f five years.</w:t>
            </w:r>
          </w:p>
          <w:p w14:paraId="34BAB0C8" w14:textId="0425A292" w:rsidR="00CA1467" w:rsidRDefault="00031C54" w:rsidP="001D6997">
            <w:pPr>
              <w:pStyle w:val="BodyTextIndent2"/>
              <w:numPr>
                <w:ilvl w:val="0"/>
                <w:numId w:val="1"/>
              </w:numPr>
              <w:spacing w:after="0" w:line="240" w:lineRule="auto"/>
              <w:rPr>
                <w:szCs w:val="22"/>
              </w:rPr>
            </w:pPr>
            <w:r w:rsidRPr="00C27BF5">
              <w:rPr>
                <w:szCs w:val="22"/>
              </w:rPr>
              <w:t xml:space="preserve">Agree that the Council </w:t>
            </w:r>
            <w:r>
              <w:rPr>
                <w:szCs w:val="22"/>
              </w:rPr>
              <w:t>can</w:t>
            </w:r>
            <w:r w:rsidRPr="00C27BF5">
              <w:rPr>
                <w:szCs w:val="22"/>
              </w:rPr>
              <w:t xml:space="preserve"> begin to accept applications for Selective Licensing </w:t>
            </w:r>
            <w:r>
              <w:rPr>
                <w:szCs w:val="22"/>
              </w:rPr>
              <w:t xml:space="preserve">(if approved) </w:t>
            </w:r>
            <w:r w:rsidRPr="00C27BF5">
              <w:rPr>
                <w:szCs w:val="22"/>
              </w:rPr>
              <w:t xml:space="preserve">from </w:t>
            </w:r>
            <w:r w:rsidR="00CC604C">
              <w:rPr>
                <w:b/>
                <w:bCs/>
                <w:szCs w:val="22"/>
              </w:rPr>
              <w:t>2</w:t>
            </w:r>
            <w:r w:rsidR="00CC604C" w:rsidRPr="00CC604C">
              <w:rPr>
                <w:b/>
                <w:bCs/>
                <w:szCs w:val="22"/>
                <w:vertAlign w:val="superscript"/>
              </w:rPr>
              <w:t>nd</w:t>
            </w:r>
            <w:r w:rsidR="00CC604C">
              <w:rPr>
                <w:b/>
                <w:bCs/>
                <w:szCs w:val="22"/>
              </w:rPr>
              <w:t xml:space="preserve"> August 2021</w:t>
            </w:r>
            <w:r w:rsidRPr="00C27BF5">
              <w:rPr>
                <w:szCs w:val="22"/>
              </w:rPr>
              <w:t xml:space="preserve">, in anticipation of the scheme coming into effect on </w:t>
            </w:r>
            <w:r w:rsidR="00CC604C" w:rsidRPr="00D44B6B">
              <w:rPr>
                <w:b/>
                <w:bCs/>
                <w:szCs w:val="22"/>
              </w:rPr>
              <w:t>2</w:t>
            </w:r>
            <w:r w:rsidR="00CC604C" w:rsidRPr="00D44B6B">
              <w:rPr>
                <w:b/>
                <w:bCs/>
                <w:szCs w:val="22"/>
                <w:vertAlign w:val="superscript"/>
              </w:rPr>
              <w:t>nd</w:t>
            </w:r>
            <w:r w:rsidR="00CC604C" w:rsidRPr="00D44B6B">
              <w:rPr>
                <w:b/>
                <w:bCs/>
                <w:szCs w:val="22"/>
              </w:rPr>
              <w:t xml:space="preserve"> September </w:t>
            </w:r>
            <w:r w:rsidR="00482CC8" w:rsidRPr="00D44B6B">
              <w:rPr>
                <w:b/>
                <w:bCs/>
                <w:szCs w:val="22"/>
              </w:rPr>
              <w:t>2021</w:t>
            </w:r>
            <w:r w:rsidR="00482CC8">
              <w:rPr>
                <w:bCs/>
                <w:szCs w:val="22"/>
              </w:rPr>
              <w:t>.</w:t>
            </w:r>
          </w:p>
          <w:p w14:paraId="34BAB0C9" w14:textId="77777777" w:rsidR="00CA1467" w:rsidRPr="0074358C" w:rsidRDefault="00031C54" w:rsidP="001D6997">
            <w:pPr>
              <w:pStyle w:val="BodyTextIndent2"/>
              <w:numPr>
                <w:ilvl w:val="0"/>
                <w:numId w:val="1"/>
              </w:numPr>
              <w:spacing w:after="0" w:line="240" w:lineRule="auto"/>
              <w:rPr>
                <w:szCs w:val="22"/>
              </w:rPr>
            </w:pPr>
            <w:r w:rsidRPr="00B64D25">
              <w:rPr>
                <w:szCs w:val="22"/>
              </w:rPr>
              <w:t xml:space="preserve">If the scheme is approved, </w:t>
            </w:r>
            <w:r>
              <w:rPr>
                <w:szCs w:val="22"/>
              </w:rPr>
              <w:t>agree to</w:t>
            </w:r>
            <w:r w:rsidRPr="00B64D25">
              <w:rPr>
                <w:szCs w:val="22"/>
              </w:rPr>
              <w:t xml:space="preserve"> the </w:t>
            </w:r>
            <w:r>
              <w:rPr>
                <w:szCs w:val="22"/>
              </w:rPr>
              <w:t>Head of Community &amp; Public Protection taking</w:t>
            </w:r>
            <w:r w:rsidRPr="00A45797">
              <w:rPr>
                <w:szCs w:val="22"/>
              </w:rPr>
              <w:t xml:space="preserve"> all steps necessary to publicise, commence and administer the scheme including the issuing and amending </w:t>
            </w:r>
            <w:r w:rsidRPr="0074358C">
              <w:rPr>
                <w:szCs w:val="22"/>
              </w:rPr>
              <w:t>of licences</w:t>
            </w:r>
            <w:r>
              <w:rPr>
                <w:szCs w:val="22"/>
              </w:rPr>
              <w:t xml:space="preserve">. </w:t>
            </w:r>
          </w:p>
          <w:p w14:paraId="34BAB0CA" w14:textId="77777777" w:rsidR="00CA1467" w:rsidRDefault="00031C54" w:rsidP="001D6997">
            <w:pPr>
              <w:pStyle w:val="BodyTextIndent2"/>
              <w:numPr>
                <w:ilvl w:val="0"/>
                <w:numId w:val="1"/>
              </w:numPr>
              <w:spacing w:after="0" w:line="240" w:lineRule="auto"/>
              <w:rPr>
                <w:szCs w:val="22"/>
              </w:rPr>
            </w:pPr>
            <w:r w:rsidRPr="00C27BF5">
              <w:rPr>
                <w:szCs w:val="22"/>
              </w:rPr>
              <w:t xml:space="preserve">Note that </w:t>
            </w:r>
            <w:r>
              <w:rPr>
                <w:szCs w:val="22"/>
              </w:rPr>
              <w:t xml:space="preserve">the Selective Licensing scheme (if approved) and the operation of the designation will be reviewed </w:t>
            </w:r>
            <w:r w:rsidRPr="00C27BF5">
              <w:rPr>
                <w:szCs w:val="22"/>
              </w:rPr>
              <w:t>annual</w:t>
            </w:r>
            <w:r>
              <w:rPr>
                <w:szCs w:val="22"/>
              </w:rPr>
              <w:t>ly.</w:t>
            </w:r>
            <w:r w:rsidRPr="00C27BF5">
              <w:rPr>
                <w:szCs w:val="22"/>
              </w:rPr>
              <w:t xml:space="preserve"> </w:t>
            </w:r>
          </w:p>
          <w:p w14:paraId="321DBEC9" w14:textId="77777777" w:rsidR="001D6997" w:rsidRDefault="001D6997" w:rsidP="001D6997">
            <w:pPr>
              <w:pStyle w:val="BodyTextIndent2"/>
              <w:numPr>
                <w:ilvl w:val="0"/>
                <w:numId w:val="1"/>
              </w:numPr>
              <w:spacing w:after="0" w:line="240" w:lineRule="auto"/>
              <w:rPr>
                <w:szCs w:val="22"/>
              </w:rPr>
            </w:pPr>
            <w:r>
              <w:rPr>
                <w:szCs w:val="22"/>
              </w:rPr>
              <w:t xml:space="preserve">Delegate authority to the Corporate Director Community, </w:t>
            </w:r>
            <w:r>
              <w:t>following consultation with the Portfolio Holder for Environment,</w:t>
            </w:r>
            <w:r>
              <w:rPr>
                <w:szCs w:val="22"/>
              </w:rPr>
              <w:t xml:space="preserve"> to amend and approve discretionary licensing conditions implemented by the Head of Community and Public Protection. </w:t>
            </w:r>
          </w:p>
          <w:p w14:paraId="34BAB0CC" w14:textId="77777777" w:rsidR="00CA1467" w:rsidRDefault="00CA1467" w:rsidP="00A64C6D">
            <w:pPr>
              <w:pStyle w:val="BodyTextIndent2"/>
              <w:spacing w:after="0" w:line="240" w:lineRule="auto"/>
              <w:ind w:left="720"/>
              <w:rPr>
                <w:szCs w:val="22"/>
              </w:rPr>
            </w:pPr>
          </w:p>
          <w:p w14:paraId="34BAB0CD" w14:textId="77777777" w:rsidR="00CA1467" w:rsidRPr="0089039E" w:rsidRDefault="00CA1467" w:rsidP="00A64C6D">
            <w:pPr>
              <w:autoSpaceDE w:val="0"/>
              <w:autoSpaceDN w:val="0"/>
              <w:adjustRightInd w:val="0"/>
              <w:rPr>
                <w:rFonts w:cs="Arial"/>
                <w:b/>
                <w:sz w:val="22"/>
                <w:szCs w:val="22"/>
              </w:rPr>
            </w:pPr>
          </w:p>
          <w:p w14:paraId="34BAB0CE" w14:textId="77777777" w:rsidR="00CA1467" w:rsidRPr="003F2FD4" w:rsidRDefault="00031C54" w:rsidP="00A64C6D">
            <w:pPr>
              <w:pStyle w:val="Heading2"/>
              <w:rPr>
                <w:szCs w:val="28"/>
              </w:rPr>
            </w:pPr>
            <w:r w:rsidRPr="003F2FD4">
              <w:rPr>
                <w:szCs w:val="28"/>
              </w:rPr>
              <w:t>Reason: (For recommendation)</w:t>
            </w:r>
          </w:p>
          <w:p w14:paraId="34BAB0CF" w14:textId="77777777" w:rsidR="00CA1467" w:rsidRPr="003F2FD4" w:rsidRDefault="00CA1467" w:rsidP="00A64C6D">
            <w:pPr>
              <w:rPr>
                <w:sz w:val="28"/>
              </w:rPr>
            </w:pPr>
          </w:p>
          <w:p w14:paraId="34BAB0D0" w14:textId="77777777" w:rsidR="00CA1467" w:rsidRDefault="00031C54" w:rsidP="00A64C6D">
            <w:pPr>
              <w:jc w:val="both"/>
              <w:rPr>
                <w:rFonts w:cs="Arial"/>
                <w:szCs w:val="22"/>
              </w:rPr>
            </w:pPr>
            <w:r w:rsidRPr="003F2FD4">
              <w:rPr>
                <w:rFonts w:cs="Arial"/>
                <w:szCs w:val="22"/>
              </w:rPr>
              <w:t xml:space="preserve">To </w:t>
            </w:r>
            <w:r>
              <w:rPr>
                <w:rFonts w:cs="Arial"/>
                <w:szCs w:val="22"/>
              </w:rPr>
              <w:t xml:space="preserve">continue to </w:t>
            </w:r>
            <w:r w:rsidRPr="003F2FD4">
              <w:rPr>
                <w:rFonts w:cs="Arial"/>
                <w:szCs w:val="22"/>
              </w:rPr>
              <w:t xml:space="preserve">address issues of anti-social behaviour in the </w:t>
            </w:r>
            <w:r w:rsidR="00971BFA">
              <w:rPr>
                <w:rFonts w:cs="Arial"/>
                <w:szCs w:val="22"/>
              </w:rPr>
              <w:t>Wealdstone</w:t>
            </w:r>
            <w:r>
              <w:rPr>
                <w:rFonts w:cs="Arial"/>
                <w:szCs w:val="22"/>
              </w:rPr>
              <w:t xml:space="preserve"> ward</w:t>
            </w:r>
            <w:r w:rsidRPr="003F2FD4">
              <w:rPr>
                <w:rFonts w:cs="Arial"/>
                <w:szCs w:val="22"/>
              </w:rPr>
              <w:t>, in line with the corporate priorities of making a difference to residents, community, businesses and the vulnerable.</w:t>
            </w:r>
          </w:p>
          <w:p w14:paraId="34BAB0D1" w14:textId="77777777" w:rsidR="00CA1467" w:rsidRDefault="00CA1467" w:rsidP="00A64C6D">
            <w:pPr>
              <w:jc w:val="both"/>
              <w:rPr>
                <w:rFonts w:cs="Arial"/>
              </w:rPr>
            </w:pPr>
          </w:p>
        </w:tc>
      </w:tr>
    </w:tbl>
    <w:p w14:paraId="34BAB0D3" w14:textId="77777777" w:rsidR="00CA1467" w:rsidRDefault="00CA1467" w:rsidP="00CA1467">
      <w:pPr>
        <w:pStyle w:val="Heading1"/>
        <w:sectPr w:rsidR="00CA1467" w:rsidSect="005E3A10">
          <w:footerReference w:type="first" r:id="rId15"/>
          <w:pgSz w:w="11909" w:h="16834" w:code="9"/>
          <w:pgMar w:top="720" w:right="1800" w:bottom="2736" w:left="1800" w:header="720" w:footer="432" w:gutter="0"/>
          <w:cols w:space="720"/>
          <w:titlePg/>
          <w:docGrid w:linePitch="360"/>
        </w:sectPr>
      </w:pPr>
    </w:p>
    <w:p w14:paraId="34BAB0D4" w14:textId="77777777" w:rsidR="00CA1467" w:rsidRDefault="00CA1467" w:rsidP="00CA1467">
      <w:pPr>
        <w:pStyle w:val="Heading1"/>
        <w:sectPr w:rsidR="00CA1467" w:rsidSect="00A53B04">
          <w:type w:val="continuous"/>
          <w:pgSz w:w="11909" w:h="16834" w:code="9"/>
          <w:pgMar w:top="720" w:right="1800" w:bottom="1152" w:left="1800" w:header="720" w:footer="432" w:gutter="0"/>
          <w:cols w:space="720"/>
          <w:titlePg/>
          <w:docGrid w:linePitch="360"/>
        </w:sectPr>
      </w:pPr>
    </w:p>
    <w:p w14:paraId="34BAB0D5" w14:textId="77777777" w:rsidR="00CA1467" w:rsidRDefault="00031C54" w:rsidP="00CA1467">
      <w:pPr>
        <w:pStyle w:val="Heading1"/>
      </w:pPr>
      <w:r>
        <w:lastRenderedPageBreak/>
        <w:t>Section 2 – Report</w:t>
      </w:r>
    </w:p>
    <w:p w14:paraId="34BAB0D6" w14:textId="77777777" w:rsidR="00CA1467" w:rsidRDefault="00CA1467" w:rsidP="00CA1467">
      <w:pPr>
        <w:pStyle w:val="Heading2"/>
      </w:pPr>
    </w:p>
    <w:p w14:paraId="34BAB0D7" w14:textId="77777777" w:rsidR="00CA1467" w:rsidRDefault="00031C54" w:rsidP="00CA1467">
      <w:pPr>
        <w:pStyle w:val="Heading2"/>
      </w:pPr>
      <w:r>
        <w:t>1. Introduction</w:t>
      </w:r>
    </w:p>
    <w:p w14:paraId="34BAB0D8" w14:textId="77777777" w:rsidR="00CA1467" w:rsidRDefault="00CA1467" w:rsidP="00CA1467"/>
    <w:p w14:paraId="34BAB0D9" w14:textId="77777777" w:rsidR="00FB3437" w:rsidRDefault="00CA1467" w:rsidP="00FB3437">
      <w:pPr>
        <w:numPr>
          <w:ilvl w:val="1"/>
          <w:numId w:val="2"/>
        </w:numPr>
      </w:pPr>
      <w:r w:rsidRPr="00DA538F">
        <w:t>Harrow Council is committed to maintaining a clean and safe environment for the benefit of everyone in the borough. The commitment recognises the Council’s responsibility to keep the local environment clear of litter</w:t>
      </w:r>
      <w:r>
        <w:t>, fly-tipping and vandalism; encourage behaviour change to initiate improvements; and reduce the fear of any crime in the Borough.  This includes tackling rogue landlords but assisting those that need help.</w:t>
      </w:r>
    </w:p>
    <w:p w14:paraId="34BAB0DA" w14:textId="77777777" w:rsidR="00FB3437" w:rsidRDefault="00FB3437" w:rsidP="00FB3437"/>
    <w:p w14:paraId="34BAB0DB" w14:textId="77777777" w:rsidR="00FB3437" w:rsidRPr="007B5847" w:rsidRDefault="00031C54" w:rsidP="00FB3437">
      <w:pPr>
        <w:rPr>
          <w:b/>
          <w:bCs/>
        </w:rPr>
      </w:pPr>
      <w:r w:rsidRPr="007B5847">
        <w:rPr>
          <w:b/>
          <w:bCs/>
        </w:rPr>
        <w:t>What is Selective Licensing</w:t>
      </w:r>
    </w:p>
    <w:p w14:paraId="34BAB0DC" w14:textId="77777777" w:rsidR="00FB3437" w:rsidRDefault="00FB3437" w:rsidP="00FB3437">
      <w:pPr>
        <w:ind w:left="720"/>
      </w:pPr>
    </w:p>
    <w:p w14:paraId="34BAB0DD" w14:textId="77777777" w:rsidR="00FB3437" w:rsidRDefault="00031C54" w:rsidP="00FB3437">
      <w:pPr>
        <w:numPr>
          <w:ilvl w:val="1"/>
          <w:numId w:val="2"/>
        </w:numPr>
      </w:pPr>
      <w:r>
        <w:t xml:space="preserve">Part 3 of the Housing Act 2004 (the Act) sets out the scheme for licensing private rented properties in a local housing authority area. Under section 80 of the Act a local housing authority can designate the whole or any part or parts of its area as subject to selective licensing. </w:t>
      </w:r>
    </w:p>
    <w:p w14:paraId="34BAB0DE" w14:textId="77777777" w:rsidR="00FB3437" w:rsidRDefault="00FB3437" w:rsidP="00FB3437">
      <w:pPr>
        <w:ind w:left="720"/>
      </w:pPr>
    </w:p>
    <w:p w14:paraId="34BAB0DF" w14:textId="6709A0BC" w:rsidR="00FB3437" w:rsidRDefault="00031C54" w:rsidP="00FB3437">
      <w:pPr>
        <w:numPr>
          <w:ilvl w:val="1"/>
          <w:numId w:val="2"/>
        </w:numPr>
      </w:pPr>
      <w:r>
        <w:t xml:space="preserve">Where a selective licensing designation is made it applies to privately rented property in the area. Subject to certain exemptions specified in the Selective licensing of Houses (Specified Exemptions)(England) Order 2006 , all properties in the private rented sector which are let or occupied under a licence, are required to be licensed by the local housing authority, unless the property is a House in Multiple Occupation and is required to be licensed under Part 2 of the Act . </w:t>
      </w:r>
    </w:p>
    <w:p w14:paraId="34BAB0E0" w14:textId="77777777" w:rsidR="00FB3437" w:rsidRDefault="00FB3437" w:rsidP="00FB3437">
      <w:pPr>
        <w:pStyle w:val="ListParagraph"/>
        <w:ind w:left="0"/>
      </w:pPr>
    </w:p>
    <w:p w14:paraId="34BAB0E1" w14:textId="77777777" w:rsidR="00FB3437" w:rsidRPr="007B5847" w:rsidRDefault="00031C54" w:rsidP="00FB3437">
      <w:pPr>
        <w:rPr>
          <w:b/>
          <w:bCs/>
        </w:rPr>
      </w:pPr>
      <w:r w:rsidRPr="007B5847">
        <w:rPr>
          <w:b/>
          <w:bCs/>
        </w:rPr>
        <w:t>What area can be designated</w:t>
      </w:r>
    </w:p>
    <w:p w14:paraId="34BAB0E2" w14:textId="77777777" w:rsidR="00FB3437" w:rsidRDefault="00FB3437" w:rsidP="00FB3437">
      <w:pPr>
        <w:pStyle w:val="ListParagraph"/>
      </w:pPr>
    </w:p>
    <w:p w14:paraId="34BAB0E3" w14:textId="74A81A8F" w:rsidR="00FB3437" w:rsidRDefault="004354BB" w:rsidP="00FB3437">
      <w:pPr>
        <w:numPr>
          <w:ilvl w:val="1"/>
          <w:numId w:val="2"/>
        </w:numPr>
      </w:pPr>
      <w:r>
        <w:t>Part 3 of t</w:t>
      </w:r>
      <w:r w:rsidR="00031C54">
        <w:t xml:space="preserve">he Housing Act 2004 allows Local Authorities to introduce a Selective Licensing Scheme if certain conditions are met for the area.  The Department for Communities and Local Government “Selective Licensing in the Private Rented Sector” Guide for Local Authorities states that the area must have one or more of the following </w:t>
      </w:r>
      <w:r>
        <w:t xml:space="preserve">conditions </w:t>
      </w:r>
      <w:r w:rsidR="00031C54">
        <w:t>being experienced</w:t>
      </w:r>
      <w:r>
        <w:t xml:space="preserve"> in order for a selective licensing designation to be made</w:t>
      </w:r>
      <w:r w:rsidR="00031C54">
        <w:t>:</w:t>
      </w:r>
    </w:p>
    <w:p w14:paraId="34BAB0E4" w14:textId="77777777" w:rsidR="00FB3437" w:rsidRDefault="00FB3437" w:rsidP="00FB3437">
      <w:pPr>
        <w:pStyle w:val="ListParagraph"/>
      </w:pPr>
    </w:p>
    <w:p w14:paraId="34BAB0E5" w14:textId="77777777" w:rsidR="00FB3437" w:rsidRDefault="00031C54" w:rsidP="00FB3437">
      <w:pPr>
        <w:numPr>
          <w:ilvl w:val="2"/>
          <w:numId w:val="2"/>
        </w:numPr>
      </w:pPr>
      <w:r>
        <w:t xml:space="preserve">low housing demand (not applicable in Wealdstone), </w:t>
      </w:r>
    </w:p>
    <w:p w14:paraId="34BAB0E6" w14:textId="77777777" w:rsidR="00FB3437" w:rsidRDefault="00031C54" w:rsidP="00FB3437">
      <w:pPr>
        <w:numPr>
          <w:ilvl w:val="2"/>
          <w:numId w:val="2"/>
        </w:numPr>
      </w:pPr>
      <w:r>
        <w:t xml:space="preserve">significant and persistent problem caused by anti-social behaviour (ASB), </w:t>
      </w:r>
    </w:p>
    <w:p w14:paraId="34BAB0E7" w14:textId="77777777" w:rsidR="00FB3437" w:rsidRDefault="00031C54" w:rsidP="00FB3437">
      <w:pPr>
        <w:numPr>
          <w:ilvl w:val="2"/>
          <w:numId w:val="2"/>
        </w:numPr>
      </w:pPr>
      <w:r>
        <w:t xml:space="preserve">poor property conditions, </w:t>
      </w:r>
    </w:p>
    <w:p w14:paraId="34BAB0E8" w14:textId="77777777" w:rsidR="00FB3437" w:rsidRDefault="00031C54" w:rsidP="00FB3437">
      <w:pPr>
        <w:numPr>
          <w:ilvl w:val="2"/>
          <w:numId w:val="2"/>
        </w:numPr>
      </w:pPr>
      <w:r>
        <w:t xml:space="preserve">high levels of migration, </w:t>
      </w:r>
    </w:p>
    <w:p w14:paraId="34BAB0E9" w14:textId="77777777" w:rsidR="00FB3437" w:rsidRDefault="00031C54" w:rsidP="00FB3437">
      <w:pPr>
        <w:numPr>
          <w:ilvl w:val="2"/>
          <w:numId w:val="2"/>
        </w:numPr>
      </w:pPr>
      <w:r>
        <w:t>high level of deprivation</w:t>
      </w:r>
    </w:p>
    <w:p w14:paraId="34BAB0EA" w14:textId="77777777" w:rsidR="00FB3437" w:rsidRDefault="00031C54" w:rsidP="00FB3437">
      <w:pPr>
        <w:numPr>
          <w:ilvl w:val="2"/>
          <w:numId w:val="2"/>
        </w:numPr>
      </w:pPr>
      <w:r>
        <w:t>high levels of crime</w:t>
      </w:r>
    </w:p>
    <w:p w14:paraId="34BAB0EB" w14:textId="77777777" w:rsidR="00FB3437" w:rsidRPr="00BE2FFC" w:rsidRDefault="00FB3437" w:rsidP="00FB3437"/>
    <w:p w14:paraId="34BAB0EC" w14:textId="7E8CBF4D" w:rsidR="00FB3437" w:rsidRDefault="00031C54" w:rsidP="00FB3437">
      <w:pPr>
        <w:ind w:left="720" w:hanging="720"/>
      </w:pPr>
      <w:r>
        <w:t xml:space="preserve">1.5 </w:t>
      </w:r>
      <w:r>
        <w:tab/>
        <w:t xml:space="preserve">Any such designation lasts for a maximum 5 years before it is ended or goes through further consultation to be renewed. The Government Guidance around this can be found at </w:t>
      </w:r>
      <w:hyperlink r:id="rId16" w:history="1">
        <w:r>
          <w:rPr>
            <w:rStyle w:val="Hyperlink"/>
          </w:rPr>
          <w:t>Selective licensing in the private rented sector: a guide for local authorities - GOV.UK (www.gov.uk)</w:t>
        </w:r>
      </w:hyperlink>
      <w:r w:rsidR="00482CC8">
        <w:rPr>
          <w:rStyle w:val="Hyperlink"/>
        </w:rPr>
        <w:t>.</w:t>
      </w:r>
    </w:p>
    <w:p w14:paraId="34BAB0ED" w14:textId="77777777" w:rsidR="00FB3437" w:rsidRDefault="00FB3437" w:rsidP="00FB3437"/>
    <w:p w14:paraId="5DFAD3F7" w14:textId="77777777" w:rsidR="0039170C" w:rsidRDefault="0039170C">
      <w:pPr>
        <w:rPr>
          <w:b/>
          <w:bCs/>
        </w:rPr>
      </w:pPr>
      <w:r>
        <w:rPr>
          <w:b/>
          <w:bCs/>
        </w:rPr>
        <w:br w:type="page"/>
      </w:r>
    </w:p>
    <w:p w14:paraId="34BAB0F1" w14:textId="6A0BB3BA" w:rsidR="00FB3437" w:rsidRPr="007B5847" w:rsidRDefault="00031C54" w:rsidP="00FB3437">
      <w:pPr>
        <w:rPr>
          <w:b/>
          <w:bCs/>
        </w:rPr>
      </w:pPr>
      <w:r w:rsidRPr="007B5847">
        <w:rPr>
          <w:b/>
          <w:bCs/>
        </w:rPr>
        <w:t>What areas have been designated in Harrow</w:t>
      </w:r>
    </w:p>
    <w:p w14:paraId="34BAB0F2" w14:textId="77777777" w:rsidR="00FB3437" w:rsidRDefault="00FB3437" w:rsidP="00FB3437"/>
    <w:p w14:paraId="34BAB0F3" w14:textId="77777777" w:rsidR="00E66293" w:rsidRDefault="00031C54" w:rsidP="00E66293">
      <w:pPr>
        <w:ind w:left="720" w:hanging="720"/>
      </w:pPr>
      <w:r>
        <w:t xml:space="preserve">1.6 </w:t>
      </w:r>
      <w:r>
        <w:tab/>
      </w:r>
      <w:r w:rsidR="00FB3437">
        <w:t>A project was set up in 2012-13 to identify areas within the Borough that were suffering from high levels of anti-social behaviour and environmental issues.  This included using data held on the private rented sector, including council tax data.</w:t>
      </w:r>
    </w:p>
    <w:p w14:paraId="34BAB0F4" w14:textId="77777777" w:rsidR="00E66293" w:rsidRDefault="00E66293" w:rsidP="00E66293">
      <w:pPr>
        <w:ind w:left="720" w:hanging="720"/>
      </w:pPr>
    </w:p>
    <w:p w14:paraId="12E3694C" w14:textId="71EBCFB8" w:rsidR="00C34B30" w:rsidRDefault="00E66293" w:rsidP="00C34B30">
      <w:pPr>
        <w:ind w:left="720" w:hanging="720"/>
      </w:pPr>
      <w:r>
        <w:t xml:space="preserve">1.7 </w:t>
      </w:r>
      <w:r>
        <w:tab/>
      </w:r>
      <w:r w:rsidR="00031C54">
        <w:t>As a result, three areas were identified that suffered from a high levels of issues, which included Wealdstone, which showed above Borough average rates for serious crime and ASB, high levels of fly-tipping and a large volume of noise nuisance (especially from private rented properties).  Therefore in 2016, after consultation and approval by the Council, the ward of Wealdstone became a designated area</w:t>
      </w:r>
      <w:r w:rsidR="00482CC8">
        <w:t>.</w:t>
      </w:r>
    </w:p>
    <w:p w14:paraId="6C16109A" w14:textId="2587E07A" w:rsidR="00C34B30" w:rsidRDefault="00C34B30" w:rsidP="00C34B30">
      <w:pPr>
        <w:ind w:left="720" w:hanging="720"/>
      </w:pPr>
    </w:p>
    <w:p w14:paraId="68BB7DF6" w14:textId="0F2F8599" w:rsidR="00C34B30" w:rsidRDefault="00C34B30" w:rsidP="00C34B30">
      <w:pPr>
        <w:ind w:left="720" w:hanging="720"/>
      </w:pPr>
      <w:r>
        <w:t>1.8</w:t>
      </w:r>
      <w:r>
        <w:tab/>
        <w:t>Data for the period 2012-13 and addresses were cross-referenced with council tax data to determined 53% of ASB and housing related complaints related to private rented properties in Wealdstone.  Government census data shows Wealdstone to have 3882 households of which 26.92% are private rented.  This is above the average for Harrow (21.74%). One of the requirements of the DCLG guidance on Selective Licensing is to show an area has a high proportion of private rented sector, with anything above the national average of 19% meeting this criterion.</w:t>
      </w:r>
    </w:p>
    <w:p w14:paraId="34BAB0F6" w14:textId="77777777" w:rsidR="00FB3437" w:rsidRDefault="00FB3437" w:rsidP="00FB3437"/>
    <w:p w14:paraId="34BAB0F7" w14:textId="77777777" w:rsidR="00FB3437" w:rsidRPr="007B5847" w:rsidRDefault="00031C54" w:rsidP="00FB3437">
      <w:pPr>
        <w:rPr>
          <w:b/>
          <w:bCs/>
        </w:rPr>
      </w:pPr>
      <w:r w:rsidRPr="007B5847">
        <w:rPr>
          <w:b/>
          <w:bCs/>
        </w:rPr>
        <w:t>What has happened since Selective Licensing was Introduced in Wealdstone</w:t>
      </w:r>
    </w:p>
    <w:p w14:paraId="34BAB0F8" w14:textId="77777777" w:rsidR="00FB3437" w:rsidRDefault="00FB3437" w:rsidP="00FB3437"/>
    <w:p w14:paraId="34BAB0F9" w14:textId="1B644D07" w:rsidR="00FB3437" w:rsidRDefault="00E66293" w:rsidP="00E66293">
      <w:pPr>
        <w:ind w:left="720" w:hanging="720"/>
      </w:pPr>
      <w:r>
        <w:t>1.</w:t>
      </w:r>
      <w:r w:rsidR="00C34B30">
        <w:t>9</w:t>
      </w:r>
      <w:r>
        <w:t xml:space="preserve"> </w:t>
      </w:r>
      <w:r>
        <w:tab/>
      </w:r>
      <w:r w:rsidR="00031C54">
        <w:t>Since June 2016, the Council has sought to licence all rented accommodation in the designated area to ensure they are all subject to conditions specific to ensuring safety, addressing the issues found in the area (e.g. waste disposal condition aimed at reducing fly tipping) and carrying out inspections to ensure the premises are fit for habitation and safe</w:t>
      </w:r>
      <w:r w:rsidR="00482CC8">
        <w:t>.</w:t>
      </w:r>
    </w:p>
    <w:p w14:paraId="34BAB0FA" w14:textId="77777777" w:rsidR="00FB3437" w:rsidRDefault="00FB3437" w:rsidP="00FB3437"/>
    <w:p w14:paraId="34BAB0FB" w14:textId="0140E76D" w:rsidR="00FB3437" w:rsidRDefault="00E66293" w:rsidP="00E66293">
      <w:pPr>
        <w:ind w:left="720" w:hanging="720"/>
      </w:pPr>
      <w:r>
        <w:t>1.</w:t>
      </w:r>
      <w:r w:rsidR="00C34B30">
        <w:t>10</w:t>
      </w:r>
      <w:r>
        <w:t xml:space="preserve"> </w:t>
      </w:r>
      <w:r>
        <w:tab/>
      </w:r>
      <w:r w:rsidR="00031C54">
        <w:t>As mentioned above, there are exemptions to premises that must be licensed pursuant to selective licensing, including those owned by Housing Associations.  To give a context as to the number of properties licensed in this period, the 2013 census of Wealdstone showed there were 1045 rented premises in the ward.  Since 2016</w:t>
      </w:r>
      <w:r w:rsidR="00175EAE">
        <w:t>,</w:t>
      </w:r>
      <w:r w:rsidR="00031C54">
        <w:t xml:space="preserve"> 774 (74%) rented premises have been licensed under the Selective Licensing Scheme, and 331 (31%) Houses in Multiple Occupation (HMO) under appropriate scheme for those premises.  In total 1105 premises have been licensed. This is 60 (5%)</w:t>
      </w:r>
      <w:r w:rsidR="00175EAE">
        <w:t xml:space="preserve"> more</w:t>
      </w:r>
      <w:r w:rsidR="00031C54">
        <w:t xml:space="preserve"> premises than were captured in the original census, and is a result of premises changing use as well as some premises moving from a selective licence requirement (e.g. a single family rented property) to a HMO requirement (e.g. multiple households moving in).   </w:t>
      </w:r>
    </w:p>
    <w:p w14:paraId="34BAB0FC" w14:textId="77777777" w:rsidR="00FB3437" w:rsidRDefault="00FB3437" w:rsidP="00FB3437"/>
    <w:p w14:paraId="48E419C7" w14:textId="77777777" w:rsidR="0039170C" w:rsidRDefault="0039170C">
      <w:pPr>
        <w:rPr>
          <w:b/>
          <w:bCs/>
        </w:rPr>
      </w:pPr>
      <w:r>
        <w:rPr>
          <w:b/>
          <w:bCs/>
        </w:rPr>
        <w:br w:type="page"/>
      </w:r>
    </w:p>
    <w:p w14:paraId="34BAB0FD" w14:textId="7AA28C0F" w:rsidR="00FB3437" w:rsidRPr="007B5847" w:rsidRDefault="00031C54" w:rsidP="00FB3437">
      <w:pPr>
        <w:rPr>
          <w:b/>
          <w:bCs/>
        </w:rPr>
      </w:pPr>
      <w:r w:rsidRPr="007B5847">
        <w:rPr>
          <w:b/>
          <w:bCs/>
        </w:rPr>
        <w:t xml:space="preserve">What has been the </w:t>
      </w:r>
      <w:r w:rsidR="00482CC8" w:rsidRPr="007B5847">
        <w:rPr>
          <w:b/>
          <w:bCs/>
        </w:rPr>
        <w:t>effect?</w:t>
      </w:r>
    </w:p>
    <w:p w14:paraId="34BAB105" w14:textId="77777777" w:rsidR="00CC604C" w:rsidRDefault="00CC604C" w:rsidP="00FB3437">
      <w:pPr>
        <w:ind w:left="720" w:hanging="720"/>
        <w:rPr>
          <w:b/>
          <w:bCs/>
        </w:rPr>
      </w:pPr>
    </w:p>
    <w:p w14:paraId="34BAB106" w14:textId="77777777" w:rsidR="00FB3437" w:rsidRPr="007B5847" w:rsidRDefault="00031C54" w:rsidP="00FB3437">
      <w:pPr>
        <w:ind w:left="720" w:hanging="720"/>
        <w:rPr>
          <w:b/>
          <w:bCs/>
        </w:rPr>
      </w:pPr>
      <w:r w:rsidRPr="007B5847">
        <w:rPr>
          <w:b/>
          <w:bCs/>
        </w:rPr>
        <w:t>Anti-Social Behaviour and Crime</w:t>
      </w:r>
    </w:p>
    <w:p w14:paraId="34BAB107" w14:textId="77777777" w:rsidR="00FB3437" w:rsidRDefault="00FB3437" w:rsidP="00FB3437">
      <w:pPr>
        <w:ind w:left="720" w:hanging="720"/>
      </w:pPr>
    </w:p>
    <w:p w14:paraId="34BAB108" w14:textId="77777777" w:rsidR="00FB3437" w:rsidRDefault="00E66293" w:rsidP="00E66293">
      <w:pPr>
        <w:ind w:left="720" w:hanging="720"/>
      </w:pPr>
      <w:r>
        <w:t>1.11</w:t>
      </w:r>
      <w:r>
        <w:tab/>
      </w:r>
      <w:r w:rsidR="00031C54">
        <w:t>In 2015, Wealdstone Ward has had Anti-Social Behaviour designated as a priority</w:t>
      </w:r>
      <w:r w:rsidR="00031C54">
        <w:rPr>
          <w:rStyle w:val="FootnoteReference"/>
        </w:rPr>
        <w:footnoteReference w:id="1"/>
      </w:r>
      <w:r w:rsidR="00031C54">
        <w:t xml:space="preserve"> due to it being the biggest crime issue for the Ward as can be seen in the table below:</w:t>
      </w:r>
    </w:p>
    <w:p w14:paraId="34BAB109" w14:textId="77777777" w:rsidR="00FB3437" w:rsidRDefault="00031C54" w:rsidP="00FB3437">
      <w:pPr>
        <w:ind w:left="720" w:hanging="720"/>
      </w:pPr>
      <w:r>
        <w:rPr>
          <w:noProof/>
          <w:lang w:eastAsia="en-GB"/>
        </w:rPr>
        <w:drawing>
          <wp:anchor distT="0" distB="0" distL="114300" distR="114300" simplePos="0" relativeHeight="251659264" behindDoc="0" locked="0" layoutInCell="1" allowOverlap="1" wp14:anchorId="34BAB360" wp14:editId="34BAB361">
            <wp:simplePos x="0" y="0"/>
            <wp:positionH relativeFrom="column">
              <wp:posOffset>381000</wp:posOffset>
            </wp:positionH>
            <wp:positionV relativeFrom="paragraph">
              <wp:posOffset>92710</wp:posOffset>
            </wp:positionV>
            <wp:extent cx="5267325" cy="2381250"/>
            <wp:effectExtent l="0" t="0" r="0" b="0"/>
            <wp:wrapNone/>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5267325" cy="2381250"/>
                    </a:xfrm>
                    <a:prstGeom prst="rect">
                      <a:avLst/>
                    </a:prstGeom>
                    <a:noFill/>
                    <a:ln>
                      <a:noFill/>
                    </a:ln>
                  </pic:spPr>
                </pic:pic>
              </a:graphicData>
            </a:graphic>
          </wp:anchor>
        </w:drawing>
      </w:r>
    </w:p>
    <w:p w14:paraId="34BAB10A" w14:textId="77777777" w:rsidR="00FB3437" w:rsidRDefault="00FB3437" w:rsidP="00FB3437">
      <w:pPr>
        <w:ind w:left="720" w:hanging="720"/>
      </w:pPr>
    </w:p>
    <w:p w14:paraId="34BAB10B" w14:textId="77777777" w:rsidR="00FB3437" w:rsidRDefault="00FB3437" w:rsidP="00FB3437">
      <w:pPr>
        <w:ind w:left="720" w:hanging="720"/>
      </w:pPr>
    </w:p>
    <w:p w14:paraId="34BAB10C" w14:textId="77777777" w:rsidR="00FB3437" w:rsidRDefault="00FB3437" w:rsidP="00FB3437">
      <w:pPr>
        <w:ind w:left="720" w:hanging="720"/>
      </w:pPr>
    </w:p>
    <w:p w14:paraId="34BAB10D" w14:textId="77777777" w:rsidR="00FB3437" w:rsidRDefault="00FB3437" w:rsidP="00FB3437">
      <w:pPr>
        <w:ind w:left="720" w:hanging="720"/>
      </w:pPr>
    </w:p>
    <w:p w14:paraId="34BAB10E" w14:textId="77777777" w:rsidR="00FB3437" w:rsidRDefault="00FB3437" w:rsidP="00FB3437">
      <w:pPr>
        <w:ind w:left="720" w:hanging="720"/>
      </w:pPr>
    </w:p>
    <w:p w14:paraId="34BAB10F" w14:textId="77777777" w:rsidR="00FB3437" w:rsidRDefault="00FB3437" w:rsidP="00FB3437">
      <w:pPr>
        <w:ind w:left="720" w:hanging="720"/>
      </w:pPr>
    </w:p>
    <w:p w14:paraId="34BAB110" w14:textId="77777777" w:rsidR="00FB3437" w:rsidRDefault="00FB3437" w:rsidP="00FB3437">
      <w:pPr>
        <w:ind w:left="720" w:hanging="720"/>
      </w:pPr>
    </w:p>
    <w:p w14:paraId="34BAB111" w14:textId="77777777" w:rsidR="00FB3437" w:rsidRDefault="00FB3437" w:rsidP="00FB3437">
      <w:pPr>
        <w:ind w:left="720" w:hanging="720"/>
      </w:pPr>
    </w:p>
    <w:p w14:paraId="34BAB112" w14:textId="77777777" w:rsidR="00FB3437" w:rsidRDefault="00FB3437" w:rsidP="00FB3437">
      <w:pPr>
        <w:ind w:left="720" w:hanging="720"/>
      </w:pPr>
    </w:p>
    <w:p w14:paraId="34BAB113" w14:textId="77777777" w:rsidR="00FB3437" w:rsidRDefault="00FB3437" w:rsidP="00FB3437">
      <w:pPr>
        <w:ind w:left="720" w:hanging="720"/>
      </w:pPr>
    </w:p>
    <w:p w14:paraId="34BAB114" w14:textId="77777777" w:rsidR="00FB3437" w:rsidRDefault="00FB3437" w:rsidP="00FB3437">
      <w:pPr>
        <w:ind w:left="720" w:hanging="720"/>
      </w:pPr>
    </w:p>
    <w:p w14:paraId="34BAB115" w14:textId="77777777" w:rsidR="00FB3437" w:rsidRDefault="00FB3437" w:rsidP="00FB3437">
      <w:pPr>
        <w:ind w:left="720" w:hanging="720"/>
      </w:pPr>
    </w:p>
    <w:p w14:paraId="34BAB116" w14:textId="77777777" w:rsidR="00FB3437" w:rsidRDefault="00031C54" w:rsidP="00FB3437">
      <w:r>
        <w:t xml:space="preserve">  </w:t>
      </w:r>
    </w:p>
    <w:p w14:paraId="34BAB117" w14:textId="77777777" w:rsidR="00FB3437" w:rsidRDefault="00FB3437" w:rsidP="00FB3437"/>
    <w:p w14:paraId="34BAB118" w14:textId="77777777" w:rsidR="00FB3437" w:rsidRDefault="00031C54" w:rsidP="00FB3437">
      <w:r>
        <w:t>From December 2019 to November 2020, these figures are now:</w:t>
      </w:r>
    </w:p>
    <w:p w14:paraId="34BAB119" w14:textId="77777777" w:rsidR="00FB3437" w:rsidRDefault="00FB3437" w:rsidP="00FB3437"/>
    <w:p w14:paraId="34BAB11A" w14:textId="77777777" w:rsidR="00FB3437" w:rsidRDefault="00031C54" w:rsidP="00FB3437">
      <w:r w:rsidRPr="00173AAD">
        <w:rPr>
          <w:noProof/>
          <w:lang w:eastAsia="en-GB"/>
        </w:rPr>
        <w:drawing>
          <wp:inline distT="0" distB="0" distL="0" distR="0" wp14:anchorId="34BAB362" wp14:editId="34BAB363">
            <wp:extent cx="5732859" cy="2120513"/>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5732859" cy="2120513"/>
                    </a:xfrm>
                    <a:prstGeom prst="rect">
                      <a:avLst/>
                    </a:prstGeom>
                    <a:noFill/>
                    <a:ln>
                      <a:noFill/>
                    </a:ln>
                  </pic:spPr>
                </pic:pic>
              </a:graphicData>
            </a:graphic>
          </wp:inline>
        </w:drawing>
      </w:r>
    </w:p>
    <w:p w14:paraId="34BAB11B" w14:textId="77777777" w:rsidR="00FB3437" w:rsidRDefault="00FB3437" w:rsidP="00FB3437"/>
    <w:p w14:paraId="34BAB11C" w14:textId="6C0F79FA" w:rsidR="00FB3437" w:rsidRDefault="00E66293" w:rsidP="00E66293">
      <w:pPr>
        <w:ind w:left="720" w:hanging="720"/>
      </w:pPr>
      <w:r>
        <w:t xml:space="preserve">1.11 </w:t>
      </w:r>
      <w:r>
        <w:tab/>
      </w:r>
      <w:r w:rsidR="00031C54">
        <w:t>Anti-Social Behaviour accounted for 31.57% of all crime types</w:t>
      </w:r>
      <w:r w:rsidR="00E056DE">
        <w:t xml:space="preserve"> in the Wealdstone ward</w:t>
      </w:r>
      <w:r w:rsidR="00031C54">
        <w:t xml:space="preserve"> over the period November 2014 to October 2015</w:t>
      </w:r>
      <w:r w:rsidR="00E056DE">
        <w:t xml:space="preserve">. </w:t>
      </w:r>
      <w:r w:rsidR="00031C54">
        <w:t xml:space="preserve"> </w:t>
      </w:r>
      <w:r w:rsidR="00E056DE">
        <w:t>F</w:t>
      </w:r>
      <w:r w:rsidR="00031C54">
        <w:t xml:space="preserve">rom December 2019 to November 202 </w:t>
      </w:r>
      <w:r w:rsidR="00E056DE">
        <w:t xml:space="preserve">ASB </w:t>
      </w:r>
      <w:r w:rsidR="00031C54">
        <w:t xml:space="preserve">accounted for 41.6% </w:t>
      </w:r>
      <w:r w:rsidR="00E056DE">
        <w:t xml:space="preserve">of all crime types </w:t>
      </w:r>
      <w:r w:rsidR="00031C54">
        <w:t>in Wealdstone Ward.  Unfortunately, while ASB therefore remains a big concern in Wealdstone, these figures do not give a true reflection of the situation due to the covid-19 pandemic</w:t>
      </w:r>
      <w:r w:rsidR="00E056DE">
        <w:t xml:space="preserve">. This has led </w:t>
      </w:r>
      <w:r w:rsidR="00031C54">
        <w:t>to gatherings, lack of social distancing and people refusing to comply with the covid-19 requirements being reported as ASB</w:t>
      </w:r>
      <w:r w:rsidR="00E056DE">
        <w:t xml:space="preserve">. This has caused what appears to be a large increase in ASB within the ward. </w:t>
      </w:r>
    </w:p>
    <w:p w14:paraId="34BAB11D" w14:textId="77777777" w:rsidR="00FB3437" w:rsidRDefault="00FB3437" w:rsidP="00FB3437"/>
    <w:p w14:paraId="34BAB11E" w14:textId="72E1FE8E" w:rsidR="00FB3437" w:rsidRPr="000859B8" w:rsidRDefault="00E66293" w:rsidP="00E66293">
      <w:pPr>
        <w:ind w:left="720" w:hanging="720"/>
      </w:pPr>
      <w:r>
        <w:lastRenderedPageBreak/>
        <w:t>1.12</w:t>
      </w:r>
      <w:r>
        <w:tab/>
      </w:r>
      <w:r w:rsidR="00031C54" w:rsidRPr="000859B8">
        <w:t xml:space="preserve">This </w:t>
      </w:r>
      <w:proofErr w:type="spellStart"/>
      <w:r w:rsidR="00E056DE">
        <w:t>covid</w:t>
      </w:r>
      <w:proofErr w:type="spellEnd"/>
      <w:r w:rsidR="00E056DE">
        <w:t xml:space="preserve"> related increased </w:t>
      </w:r>
      <w:r w:rsidR="00031C54" w:rsidRPr="000859B8">
        <w:t>is</w:t>
      </w:r>
      <w:r w:rsidR="00E056DE">
        <w:t xml:space="preserve"> also</w:t>
      </w:r>
      <w:r w:rsidR="00031C54" w:rsidRPr="000859B8">
        <w:t xml:space="preserve"> evidenced </w:t>
      </w:r>
      <w:r w:rsidR="00E056DE">
        <w:t>in</w:t>
      </w:r>
      <w:r w:rsidR="00E056DE" w:rsidRPr="000859B8">
        <w:t xml:space="preserve"> </w:t>
      </w:r>
      <w:r w:rsidR="00031C54" w:rsidRPr="000859B8">
        <w:t>neighbouring wards including Marlborough (28.29% in 2015 to 48.8% now), and Harrow Weald (27.33% to 30.6%)</w:t>
      </w:r>
      <w:r w:rsidR="00482CC8">
        <w:t>.</w:t>
      </w:r>
    </w:p>
    <w:p w14:paraId="34BAB11F" w14:textId="77777777" w:rsidR="00FB3437" w:rsidRDefault="00FB3437" w:rsidP="00FB3437">
      <w:pPr>
        <w:rPr>
          <w:color w:val="FF0000"/>
        </w:rPr>
      </w:pPr>
    </w:p>
    <w:p w14:paraId="34BAB120" w14:textId="62EF8F96" w:rsidR="00FB3437" w:rsidRDefault="00E66293" w:rsidP="00E66293">
      <w:pPr>
        <w:ind w:left="720" w:hanging="720"/>
      </w:pPr>
      <w:r>
        <w:t>1.13</w:t>
      </w:r>
      <w:r>
        <w:tab/>
      </w:r>
      <w:r w:rsidR="00031C54" w:rsidRPr="00525852">
        <w:t xml:space="preserve">But </w:t>
      </w:r>
      <w:r w:rsidR="00031C54">
        <w:t xml:space="preserve">the vitality profile for wards from 2015-2017 show that Wealdstone </w:t>
      </w:r>
      <w:r w:rsidR="00E056DE">
        <w:t>was</w:t>
      </w:r>
      <w:r w:rsidR="00031C54">
        <w:t xml:space="preserve"> improving across key areas such as burglaries, deliberate fires and general crime</w:t>
      </w:r>
      <w:r w:rsidR="00031C54">
        <w:rPr>
          <w:rStyle w:val="FootnoteReference"/>
        </w:rPr>
        <w:footnoteReference w:id="2"/>
      </w:r>
      <w:r w:rsidR="00482CC8">
        <w:t>.</w:t>
      </w:r>
    </w:p>
    <w:p w14:paraId="34BAB121" w14:textId="77777777" w:rsidR="00FB3437" w:rsidRDefault="00FB3437" w:rsidP="00FB3437"/>
    <w:p w14:paraId="34BAB122" w14:textId="7893D7BE" w:rsidR="00FB3437" w:rsidRPr="00525852" w:rsidRDefault="00E66293" w:rsidP="00E66293">
      <w:pPr>
        <w:ind w:left="720" w:hanging="720"/>
      </w:pPr>
      <w:r>
        <w:t>1.14</w:t>
      </w:r>
      <w:r>
        <w:tab/>
      </w:r>
      <w:r w:rsidR="00031C54">
        <w:t>And across key aspects selective licensing addresses, or seeks to address, being fly tipping and noise, Wealdstone has seen gradual improvements.  The 2019 vitality profile</w:t>
      </w:r>
      <w:r w:rsidR="00031C54">
        <w:rPr>
          <w:rStyle w:val="FootnoteReference"/>
        </w:rPr>
        <w:footnoteReference w:id="3"/>
      </w:r>
      <w:r w:rsidR="00031C54">
        <w:t xml:space="preserve"> shows a clear reduction of these areas with fly tipping clearly reduced in Edgware (Selective Licensing introduced in 2015) and Wealdstone (2016)</w:t>
      </w:r>
      <w:r w:rsidR="00482CC8">
        <w:t>.</w:t>
      </w:r>
    </w:p>
    <w:p w14:paraId="34BAB123" w14:textId="77777777" w:rsidR="00FB3437" w:rsidRDefault="00FB3437" w:rsidP="00FB3437">
      <w:pPr>
        <w:rPr>
          <w:color w:val="FF0000"/>
        </w:rPr>
      </w:pPr>
    </w:p>
    <w:p w14:paraId="34BAB124" w14:textId="77777777" w:rsidR="00FB3437" w:rsidRPr="007B5847" w:rsidRDefault="00031C54" w:rsidP="00FB3437">
      <w:pPr>
        <w:rPr>
          <w:b/>
          <w:bCs/>
        </w:rPr>
      </w:pPr>
      <w:r w:rsidRPr="007B5847">
        <w:rPr>
          <w:b/>
          <w:bCs/>
        </w:rPr>
        <w:t>Migration and Deprivation</w:t>
      </w:r>
    </w:p>
    <w:p w14:paraId="34BAB125" w14:textId="77777777" w:rsidR="00FB3437" w:rsidRDefault="00FB3437" w:rsidP="00FB3437"/>
    <w:p w14:paraId="34BAB126" w14:textId="77777777" w:rsidR="00FB3437" w:rsidRDefault="00E66293" w:rsidP="00E66293">
      <w:pPr>
        <w:tabs>
          <w:tab w:val="left" w:pos="142"/>
        </w:tabs>
        <w:ind w:left="720" w:hanging="720"/>
      </w:pPr>
      <w:r>
        <w:t>1.15</w:t>
      </w:r>
      <w:r>
        <w:tab/>
      </w:r>
      <w:r w:rsidR="00031C54">
        <w:t>Government census data</w:t>
      </w:r>
      <w:r w:rsidR="00031C54">
        <w:rPr>
          <w:rStyle w:val="FootnoteReference"/>
        </w:rPr>
        <w:footnoteReference w:id="4"/>
      </w:r>
      <w:r w:rsidR="00031C54">
        <w:t xml:space="preserve"> also shows that Wealdstone Ward has a high level of migrant population, accounting for 46.86% of the population.  This includes high levels of transient population in the ward, which can have a direct effect on the economic stability of an area.  This is recognised in the DCLG Guidance.</w:t>
      </w:r>
    </w:p>
    <w:p w14:paraId="34BAB127" w14:textId="77777777" w:rsidR="00FB3437" w:rsidRDefault="00FB3437" w:rsidP="00FB3437">
      <w:pPr>
        <w:ind w:left="720" w:hanging="720"/>
      </w:pPr>
    </w:p>
    <w:p w14:paraId="34BAB128" w14:textId="77777777" w:rsidR="00FB3437" w:rsidRDefault="00E66293" w:rsidP="00E66293">
      <w:pPr>
        <w:ind w:left="720" w:hanging="720"/>
      </w:pPr>
      <w:r>
        <w:t>1.16</w:t>
      </w:r>
      <w:r>
        <w:tab/>
      </w:r>
      <w:r w:rsidR="00031C54">
        <w:t>At the time of selective being introduced in Wealdstone Ward is one of the smallest wards in Harrow, but is the densest in terms of population, with 96 persons per hectare compared to a Harrow average of 47.4pph. The population of Wealdstone Ward has increased by 27.1% in the last 10 years which has added to this issue.  This is compared to around 13% increase in population in Greater London in the same period.</w:t>
      </w:r>
    </w:p>
    <w:p w14:paraId="34BAB129" w14:textId="77777777" w:rsidR="00FB3437" w:rsidRDefault="00FB3437" w:rsidP="00FB3437">
      <w:pPr>
        <w:ind w:left="720" w:hanging="720"/>
      </w:pPr>
    </w:p>
    <w:p w14:paraId="34BAB12A" w14:textId="77777777" w:rsidR="00E66293" w:rsidRDefault="00FB3437" w:rsidP="00FB3437">
      <w:pPr>
        <w:numPr>
          <w:ilvl w:val="0"/>
          <w:numId w:val="30"/>
        </w:numPr>
        <w:ind w:left="709" w:hanging="709"/>
      </w:pPr>
      <w:r>
        <w:t>The average household size in Wealdstone is 2.93 compared to a Harrow Borough average of 2.81.  Due to the increase in size of population and relatively high level of occupancy levels, there are tangible concerns over properties becoming overcrowded.  This is a consideration under the DCLG Guidance.</w:t>
      </w:r>
    </w:p>
    <w:p w14:paraId="34BAB12B" w14:textId="77777777" w:rsidR="00E66293" w:rsidRDefault="00E66293" w:rsidP="00E66293">
      <w:pPr>
        <w:ind w:left="709"/>
      </w:pPr>
    </w:p>
    <w:p w14:paraId="34BAB12C" w14:textId="77777777" w:rsidR="00E66293" w:rsidRDefault="00FB3437" w:rsidP="00FB3437">
      <w:pPr>
        <w:numPr>
          <w:ilvl w:val="0"/>
          <w:numId w:val="30"/>
        </w:numPr>
        <w:ind w:left="709" w:hanging="709"/>
      </w:pPr>
      <w:r>
        <w:t xml:space="preserve">In 2015, the CLG indices of deprivation show that Wealdstone is the Ward with the highest level of multiple deprivation, followed by </w:t>
      </w:r>
      <w:proofErr w:type="spellStart"/>
      <w:r>
        <w:t>Roxbourne</w:t>
      </w:r>
      <w:proofErr w:type="spellEnd"/>
      <w:r>
        <w:t>, Greenhill and Marlborough.</w:t>
      </w:r>
      <w:r w:rsidR="00031C54">
        <w:rPr>
          <w:rStyle w:val="FootnoteReference"/>
        </w:rPr>
        <w:footnoteReference w:id="5"/>
      </w:r>
      <w:r>
        <w:t xml:space="preserve">  It has the highest levels deprivation of the Borough around income, education, skills, training and employment.  In terms of Income Deprivation Domain, being the proportion of people aged under 60 in an area that are living in low income households and claiming certain out-of-work means tested benefits, Wealdstone Ward is the most deprived Ward in the Borough.</w:t>
      </w:r>
    </w:p>
    <w:p w14:paraId="34BAB12D" w14:textId="77777777" w:rsidR="00E66293" w:rsidRDefault="00E66293" w:rsidP="00E66293">
      <w:pPr>
        <w:pStyle w:val="ListParagraph"/>
      </w:pPr>
    </w:p>
    <w:p w14:paraId="34BAB12E" w14:textId="77777777" w:rsidR="00FB3437" w:rsidRDefault="00031C54" w:rsidP="00FB3437">
      <w:pPr>
        <w:numPr>
          <w:ilvl w:val="0"/>
          <w:numId w:val="30"/>
        </w:numPr>
        <w:ind w:left="709" w:hanging="709"/>
      </w:pPr>
      <w:r>
        <w:t xml:space="preserve">In 2019, Wealdstone remains the ward with the highest level of multiple deprivation, followed by </w:t>
      </w:r>
      <w:proofErr w:type="spellStart"/>
      <w:r>
        <w:t>Roxbourne</w:t>
      </w:r>
      <w:proofErr w:type="spellEnd"/>
      <w:r>
        <w:t>, Greenhill and Marlborough</w:t>
      </w:r>
      <w:r>
        <w:rPr>
          <w:rStyle w:val="FootnoteReference"/>
        </w:rPr>
        <w:footnoteReference w:id="6"/>
      </w:r>
      <w:r>
        <w:t xml:space="preserve">  But it did witness improvements to income deprivation (0.2 to 0.16), Income </w:t>
      </w:r>
      <w:r>
        <w:lastRenderedPageBreak/>
        <w:t xml:space="preserve">deprivation of children (0.28 to 0.18) and employment deprivation (0.12 to 0.09).  Overall this indicates that the area is improving in terms of being less deprived, though obviously more work is needed as it continues to be at the, or near the, bottom of the deprivation indices.  </w:t>
      </w:r>
    </w:p>
    <w:p w14:paraId="34BAB12F" w14:textId="77777777" w:rsidR="00FB3437" w:rsidRDefault="00FB3437" w:rsidP="00FB3437">
      <w:pPr>
        <w:ind w:left="720" w:hanging="720"/>
      </w:pPr>
    </w:p>
    <w:p w14:paraId="34BAB133" w14:textId="77777777" w:rsidR="00FB3437" w:rsidRPr="00E741B5" w:rsidRDefault="00031C54" w:rsidP="00FB3437">
      <w:pPr>
        <w:autoSpaceDE w:val="0"/>
        <w:autoSpaceDN w:val="0"/>
        <w:adjustRightInd w:val="0"/>
        <w:rPr>
          <w:rFonts w:cs="Arial"/>
          <w:b/>
          <w:szCs w:val="24"/>
          <w:lang w:eastAsia="en-GB"/>
        </w:rPr>
      </w:pPr>
      <w:r w:rsidRPr="00E741B5">
        <w:rPr>
          <w:rFonts w:cs="Arial"/>
          <w:b/>
          <w:szCs w:val="24"/>
          <w:lang w:eastAsia="en-GB"/>
        </w:rPr>
        <w:t>Consistent with Housing Strategy</w:t>
      </w:r>
    </w:p>
    <w:p w14:paraId="34BAB134" w14:textId="77777777" w:rsidR="00FB3437" w:rsidRDefault="00FB3437" w:rsidP="00FB3437">
      <w:pPr>
        <w:pStyle w:val="ListParagraph"/>
        <w:ind w:left="0"/>
        <w:rPr>
          <w:rFonts w:cs="Arial"/>
          <w:szCs w:val="24"/>
          <w:lang w:eastAsia="en-GB"/>
        </w:rPr>
      </w:pPr>
    </w:p>
    <w:p w14:paraId="34BAB135" w14:textId="77777777" w:rsidR="00FB3437" w:rsidRDefault="00031C54" w:rsidP="00E66293">
      <w:pPr>
        <w:numPr>
          <w:ilvl w:val="0"/>
          <w:numId w:val="30"/>
        </w:numPr>
        <w:autoSpaceDE w:val="0"/>
        <w:autoSpaceDN w:val="0"/>
        <w:adjustRightInd w:val="0"/>
        <w:ind w:left="709" w:hanging="709"/>
        <w:rPr>
          <w:rFonts w:cs="Arial"/>
          <w:szCs w:val="24"/>
          <w:lang w:eastAsia="en-GB"/>
        </w:rPr>
      </w:pPr>
      <w:r>
        <w:rPr>
          <w:rFonts w:cs="Arial"/>
          <w:szCs w:val="24"/>
          <w:lang w:eastAsia="en-GB"/>
        </w:rPr>
        <w:t xml:space="preserve">Selective Licensing ties in with the Council’s Private Sector Housing Strategy for </w:t>
      </w:r>
      <w:r w:rsidRPr="00E32ADC">
        <w:rPr>
          <w:rFonts w:cs="Arial"/>
          <w:b/>
          <w:bCs/>
          <w:szCs w:val="24"/>
          <w:lang w:eastAsia="en-GB"/>
        </w:rPr>
        <w:t>201</w:t>
      </w:r>
      <w:r>
        <w:rPr>
          <w:rFonts w:cs="Arial"/>
          <w:b/>
          <w:bCs/>
          <w:szCs w:val="24"/>
          <w:lang w:eastAsia="en-GB"/>
        </w:rPr>
        <w:t>9</w:t>
      </w:r>
      <w:r w:rsidRPr="00E32ADC">
        <w:rPr>
          <w:rFonts w:cs="Arial"/>
          <w:b/>
          <w:bCs/>
          <w:szCs w:val="24"/>
          <w:lang w:eastAsia="en-GB"/>
        </w:rPr>
        <w:t>-20</w:t>
      </w:r>
      <w:r>
        <w:rPr>
          <w:rFonts w:cs="Arial"/>
          <w:b/>
          <w:bCs/>
          <w:szCs w:val="24"/>
          <w:lang w:eastAsia="en-GB"/>
        </w:rPr>
        <w:t>24</w:t>
      </w:r>
      <w:r>
        <w:rPr>
          <w:rFonts w:cs="Arial"/>
          <w:szCs w:val="24"/>
          <w:lang w:eastAsia="en-GB"/>
        </w:rPr>
        <w:t>, using additional powers to address areas where private sector housing can be seen to contribute to issues faced in the community and need addressing.  It is to work with good landlords to provide them the environment where these properties will be successful and can be managed successfully.</w:t>
      </w:r>
    </w:p>
    <w:p w14:paraId="34BAB136" w14:textId="77777777" w:rsidR="00FB3437" w:rsidRDefault="00FB3437" w:rsidP="00FB3437">
      <w:pPr>
        <w:tabs>
          <w:tab w:val="left" w:pos="10"/>
        </w:tabs>
        <w:rPr>
          <w:rFonts w:cs="Arial"/>
          <w:szCs w:val="24"/>
          <w:lang w:eastAsia="en-GB"/>
        </w:rPr>
      </w:pPr>
    </w:p>
    <w:p w14:paraId="34BAB137" w14:textId="77777777" w:rsidR="00FB3437" w:rsidRPr="00E741B5" w:rsidRDefault="00031C54" w:rsidP="00FB3437">
      <w:pPr>
        <w:tabs>
          <w:tab w:val="left" w:pos="142"/>
        </w:tabs>
        <w:rPr>
          <w:rFonts w:cs="Arial"/>
          <w:b/>
          <w:szCs w:val="24"/>
          <w:lang w:eastAsia="en-GB"/>
        </w:rPr>
      </w:pPr>
      <w:r w:rsidRPr="00E741B5">
        <w:rPr>
          <w:rFonts w:cs="Arial"/>
          <w:b/>
          <w:szCs w:val="24"/>
          <w:lang w:eastAsia="en-GB"/>
        </w:rPr>
        <w:t xml:space="preserve">Co-ordinated Approach </w:t>
      </w:r>
    </w:p>
    <w:p w14:paraId="34BAB138" w14:textId="77777777" w:rsidR="00FB3437" w:rsidRDefault="00FB3437" w:rsidP="00FB3437">
      <w:pPr>
        <w:tabs>
          <w:tab w:val="left" w:pos="10"/>
        </w:tabs>
        <w:ind w:left="720" w:hanging="660"/>
        <w:rPr>
          <w:rFonts w:cs="Arial"/>
          <w:szCs w:val="24"/>
          <w:lang w:eastAsia="en-GB"/>
        </w:rPr>
      </w:pPr>
    </w:p>
    <w:p w14:paraId="34BAB139" w14:textId="5AC88E15" w:rsidR="00FB3437" w:rsidRDefault="00031C54" w:rsidP="00E66293">
      <w:pPr>
        <w:numPr>
          <w:ilvl w:val="1"/>
          <w:numId w:val="32"/>
        </w:numPr>
        <w:tabs>
          <w:tab w:val="left" w:pos="10"/>
        </w:tabs>
        <w:ind w:left="709" w:hanging="709"/>
        <w:rPr>
          <w:rFonts w:cs="Arial"/>
          <w:szCs w:val="24"/>
          <w:lang w:eastAsia="en-GB"/>
        </w:rPr>
      </w:pPr>
      <w:r>
        <w:t>Government Guidance clearly sets out that “Selective licensing is not a tool that can be used in isolation. The local housing authority will have to show how such a designation will be part of the overall strategic borough wide approach”</w:t>
      </w:r>
      <w:r w:rsidR="00482CC8">
        <w:t>.</w:t>
      </w:r>
    </w:p>
    <w:p w14:paraId="34BAB13A" w14:textId="77777777" w:rsidR="00FB3437" w:rsidRDefault="00FB3437" w:rsidP="00FB3437">
      <w:pPr>
        <w:tabs>
          <w:tab w:val="left" w:pos="10"/>
        </w:tabs>
        <w:ind w:left="720" w:hanging="660"/>
        <w:rPr>
          <w:rFonts w:cs="Arial"/>
          <w:szCs w:val="24"/>
          <w:lang w:eastAsia="en-GB"/>
        </w:rPr>
      </w:pPr>
    </w:p>
    <w:p w14:paraId="34BAB13B" w14:textId="77777777" w:rsidR="00FB3437" w:rsidRPr="007B5847" w:rsidRDefault="00031C54" w:rsidP="00FB3437">
      <w:pPr>
        <w:tabs>
          <w:tab w:val="left" w:pos="10"/>
        </w:tabs>
        <w:rPr>
          <w:rFonts w:cs="Arial"/>
          <w:b/>
          <w:bCs/>
          <w:szCs w:val="24"/>
          <w:lang w:eastAsia="en-GB"/>
        </w:rPr>
      </w:pPr>
      <w:r w:rsidRPr="007B5847">
        <w:rPr>
          <w:rFonts w:cs="Arial"/>
          <w:b/>
          <w:bCs/>
          <w:szCs w:val="24"/>
          <w:lang w:eastAsia="en-GB"/>
        </w:rPr>
        <w:t>ASB</w:t>
      </w:r>
    </w:p>
    <w:p w14:paraId="34BAB13C" w14:textId="77777777" w:rsidR="00FB3437" w:rsidRDefault="00FB3437" w:rsidP="00FB3437">
      <w:pPr>
        <w:tabs>
          <w:tab w:val="left" w:pos="10"/>
        </w:tabs>
        <w:ind w:left="720" w:hanging="660"/>
        <w:rPr>
          <w:rFonts w:cs="Arial"/>
          <w:szCs w:val="24"/>
          <w:lang w:eastAsia="en-GB"/>
        </w:rPr>
      </w:pPr>
    </w:p>
    <w:p w14:paraId="34BAB13D" w14:textId="77777777" w:rsidR="00FB3437" w:rsidRDefault="00E66293" w:rsidP="00E66293">
      <w:pPr>
        <w:tabs>
          <w:tab w:val="left" w:pos="10"/>
        </w:tabs>
        <w:ind w:left="720" w:hanging="720"/>
        <w:rPr>
          <w:rFonts w:cs="Arial"/>
          <w:szCs w:val="24"/>
          <w:lang w:eastAsia="en-GB"/>
        </w:rPr>
      </w:pPr>
      <w:r>
        <w:rPr>
          <w:rFonts w:cs="Arial"/>
          <w:szCs w:val="24"/>
          <w:lang w:eastAsia="en-GB"/>
        </w:rPr>
        <w:t xml:space="preserve">1.22 </w:t>
      </w:r>
      <w:r>
        <w:rPr>
          <w:rFonts w:cs="Arial"/>
          <w:szCs w:val="24"/>
          <w:lang w:eastAsia="en-GB"/>
        </w:rPr>
        <w:tab/>
      </w:r>
      <w:r w:rsidR="00031C54">
        <w:rPr>
          <w:rFonts w:cs="Arial"/>
          <w:szCs w:val="24"/>
          <w:lang w:eastAsia="en-GB"/>
        </w:rPr>
        <w:t>The aspect of Selective Licensing</w:t>
      </w:r>
      <w:r w:rsidR="00031C54" w:rsidRPr="00A43637">
        <w:rPr>
          <w:rFonts w:cs="Arial"/>
          <w:szCs w:val="24"/>
          <w:lang w:eastAsia="en-GB"/>
        </w:rPr>
        <w:t xml:space="preserve"> is just one aspect of the Public Protection Service, who also oversees the Anti-Social Behaviour Team, inspection of </w:t>
      </w:r>
      <w:r w:rsidR="00031C54">
        <w:rPr>
          <w:rFonts w:cs="Arial"/>
          <w:szCs w:val="24"/>
          <w:lang w:eastAsia="en-GB"/>
        </w:rPr>
        <w:t xml:space="preserve">private </w:t>
      </w:r>
      <w:r w:rsidR="00031C54" w:rsidRPr="00A43637">
        <w:rPr>
          <w:rFonts w:cs="Arial"/>
          <w:szCs w:val="24"/>
          <w:lang w:eastAsia="en-GB"/>
        </w:rPr>
        <w:t xml:space="preserve">rented </w:t>
      </w:r>
      <w:r w:rsidR="00031C54" w:rsidRPr="00CA7357">
        <w:rPr>
          <w:rFonts w:cs="Arial"/>
          <w:szCs w:val="24"/>
          <w:lang w:eastAsia="en-GB"/>
        </w:rPr>
        <w:t>accommodation</w:t>
      </w:r>
      <w:r w:rsidR="00031C54" w:rsidRPr="00DB6C91">
        <w:rPr>
          <w:rFonts w:cs="Arial"/>
          <w:szCs w:val="24"/>
          <w:lang w:eastAsia="en-GB"/>
        </w:rPr>
        <w:t xml:space="preserve"> and enforcement of environmental issues (e.g. fly tipping caused by persons including tenants)</w:t>
      </w:r>
      <w:r w:rsidR="00031C54">
        <w:rPr>
          <w:rFonts w:cs="Arial"/>
          <w:szCs w:val="24"/>
          <w:lang w:eastAsia="en-GB"/>
        </w:rPr>
        <w:t>.  This team also liaises with the Council Housing Anti-Social Behaviour element to ensure a consistent approach to issues.</w:t>
      </w:r>
    </w:p>
    <w:p w14:paraId="34BAB13E" w14:textId="77777777" w:rsidR="00FB3437" w:rsidRDefault="00FB3437" w:rsidP="00FB3437">
      <w:pPr>
        <w:tabs>
          <w:tab w:val="left" w:pos="10"/>
        </w:tabs>
        <w:ind w:left="720" w:hanging="660"/>
        <w:rPr>
          <w:rFonts w:cs="Arial"/>
          <w:szCs w:val="24"/>
          <w:lang w:eastAsia="en-GB"/>
        </w:rPr>
      </w:pPr>
    </w:p>
    <w:p w14:paraId="34BAB13F" w14:textId="0C9901C1" w:rsidR="00FB3437" w:rsidRDefault="00E66293" w:rsidP="00E66293">
      <w:pPr>
        <w:tabs>
          <w:tab w:val="left" w:pos="10"/>
        </w:tabs>
        <w:ind w:left="720" w:hanging="720"/>
        <w:rPr>
          <w:rFonts w:cs="Arial"/>
          <w:szCs w:val="24"/>
          <w:lang w:eastAsia="en-GB"/>
        </w:rPr>
      </w:pPr>
      <w:r>
        <w:rPr>
          <w:rFonts w:cs="Arial"/>
          <w:szCs w:val="24"/>
          <w:lang w:eastAsia="en-GB"/>
        </w:rPr>
        <w:t>1.23</w:t>
      </w:r>
      <w:r>
        <w:rPr>
          <w:rFonts w:cs="Arial"/>
          <w:szCs w:val="24"/>
          <w:lang w:eastAsia="en-GB"/>
        </w:rPr>
        <w:tab/>
      </w:r>
      <w:r w:rsidR="00031C54">
        <w:rPr>
          <w:rFonts w:cs="Arial"/>
          <w:szCs w:val="24"/>
          <w:lang w:eastAsia="en-GB"/>
        </w:rPr>
        <w:t xml:space="preserve">The Anti-Social Behaviour, Crime and </w:t>
      </w:r>
      <w:r w:rsidR="007E5C9C">
        <w:rPr>
          <w:rFonts w:cs="Arial"/>
          <w:szCs w:val="24"/>
          <w:lang w:eastAsia="en-GB"/>
        </w:rPr>
        <w:t>Policing</w:t>
      </w:r>
      <w:r w:rsidR="00031C54">
        <w:rPr>
          <w:rFonts w:cs="Arial"/>
          <w:szCs w:val="24"/>
          <w:lang w:eastAsia="en-GB"/>
        </w:rPr>
        <w:t xml:space="preserve"> Act 2014 introduced new powers that can be used to address issues of ASB, including absolute grounds for possession as well as conduct causing nuisance to landlord etc.  These powers, as well as those considered under Section 2 (Options considered) will be used in parallel with any Selective Licensing Scheme to improve an area.</w:t>
      </w:r>
    </w:p>
    <w:p w14:paraId="34BAB140" w14:textId="77777777" w:rsidR="00FB3437" w:rsidRDefault="00FB3437" w:rsidP="00FB3437">
      <w:pPr>
        <w:tabs>
          <w:tab w:val="left" w:pos="10"/>
        </w:tabs>
        <w:rPr>
          <w:rFonts w:cs="Arial"/>
          <w:szCs w:val="24"/>
          <w:lang w:eastAsia="en-GB"/>
        </w:rPr>
      </w:pPr>
    </w:p>
    <w:p w14:paraId="34BAB141" w14:textId="5AFF916C" w:rsidR="00FB3437" w:rsidRDefault="00E66293" w:rsidP="00E66293">
      <w:pPr>
        <w:tabs>
          <w:tab w:val="left" w:pos="10"/>
        </w:tabs>
        <w:ind w:left="720" w:hanging="720"/>
        <w:rPr>
          <w:rFonts w:cs="Arial"/>
          <w:szCs w:val="24"/>
          <w:lang w:eastAsia="en-GB"/>
        </w:rPr>
      </w:pPr>
      <w:r>
        <w:rPr>
          <w:rFonts w:cs="Arial"/>
          <w:szCs w:val="24"/>
          <w:lang w:eastAsia="en-GB"/>
        </w:rPr>
        <w:t>1.24</w:t>
      </w:r>
      <w:r>
        <w:rPr>
          <w:rFonts w:cs="Arial"/>
          <w:szCs w:val="24"/>
          <w:lang w:eastAsia="en-GB"/>
        </w:rPr>
        <w:tab/>
      </w:r>
      <w:r w:rsidR="00031C54">
        <w:rPr>
          <w:rFonts w:cs="Arial"/>
          <w:szCs w:val="24"/>
          <w:lang w:eastAsia="en-GB"/>
        </w:rPr>
        <w:t>Since 2015, the Council has introduced Public Spaces Protection Orders to address street drinking as well as other anti-social activity that blights Wealdstone in particular.  It has carried out numerous days of action between Council enforcement and Police, as well as put in place a Wealdstone Action Group to get the community involved in improving the area, with regular community meetings</w:t>
      </w:r>
      <w:r w:rsidR="00482CC8">
        <w:rPr>
          <w:rFonts w:cs="Arial"/>
          <w:szCs w:val="24"/>
          <w:lang w:eastAsia="en-GB"/>
        </w:rPr>
        <w:t>.</w:t>
      </w:r>
    </w:p>
    <w:p w14:paraId="34BAB142" w14:textId="77777777" w:rsidR="00FB3437" w:rsidRDefault="00FB3437" w:rsidP="00FB3437">
      <w:pPr>
        <w:tabs>
          <w:tab w:val="left" w:pos="10"/>
        </w:tabs>
        <w:ind w:left="720" w:hanging="660"/>
        <w:rPr>
          <w:rFonts w:cs="Arial"/>
          <w:szCs w:val="24"/>
          <w:lang w:eastAsia="en-GB"/>
        </w:rPr>
      </w:pPr>
    </w:p>
    <w:p w14:paraId="34BAB143" w14:textId="77777777" w:rsidR="00FB3437" w:rsidRPr="007B5847" w:rsidRDefault="00031C54" w:rsidP="00FB3437">
      <w:pPr>
        <w:tabs>
          <w:tab w:val="left" w:pos="10"/>
        </w:tabs>
        <w:rPr>
          <w:rFonts w:cs="Arial"/>
          <w:b/>
          <w:bCs/>
          <w:szCs w:val="24"/>
          <w:lang w:eastAsia="en-GB"/>
        </w:rPr>
      </w:pPr>
      <w:r w:rsidRPr="007B5847">
        <w:rPr>
          <w:rFonts w:cs="Arial"/>
          <w:b/>
          <w:bCs/>
          <w:szCs w:val="24"/>
          <w:lang w:eastAsia="en-GB"/>
        </w:rPr>
        <w:t>Homelessness and Property Standards</w:t>
      </w:r>
    </w:p>
    <w:p w14:paraId="34BAB144" w14:textId="77777777" w:rsidR="00FB3437" w:rsidRDefault="00FB3437" w:rsidP="00FB3437">
      <w:pPr>
        <w:tabs>
          <w:tab w:val="left" w:pos="10"/>
        </w:tabs>
        <w:ind w:left="720" w:hanging="660"/>
        <w:rPr>
          <w:rFonts w:cs="Arial"/>
          <w:szCs w:val="24"/>
          <w:lang w:eastAsia="en-GB"/>
        </w:rPr>
      </w:pPr>
    </w:p>
    <w:p w14:paraId="34BAB145" w14:textId="77777777" w:rsidR="00FB3437" w:rsidRDefault="00E66293" w:rsidP="00E66293">
      <w:pPr>
        <w:tabs>
          <w:tab w:val="left" w:pos="10"/>
        </w:tabs>
        <w:ind w:left="720" w:hanging="720"/>
        <w:rPr>
          <w:rFonts w:cs="Arial"/>
          <w:szCs w:val="24"/>
          <w:lang w:eastAsia="en-GB"/>
        </w:rPr>
      </w:pPr>
      <w:r>
        <w:rPr>
          <w:rFonts w:cs="Arial"/>
          <w:szCs w:val="24"/>
          <w:lang w:eastAsia="en-GB"/>
        </w:rPr>
        <w:t>1.25</w:t>
      </w:r>
      <w:r>
        <w:rPr>
          <w:rFonts w:cs="Arial"/>
          <w:szCs w:val="24"/>
          <w:lang w:eastAsia="en-GB"/>
        </w:rPr>
        <w:tab/>
      </w:r>
      <w:r w:rsidR="00031C54">
        <w:rPr>
          <w:rFonts w:cs="Arial"/>
          <w:szCs w:val="24"/>
          <w:lang w:eastAsia="en-GB"/>
        </w:rPr>
        <w:t>By having a well-managed private rented sector, it is more likely to have increased residential stock of suitable standard for the purposes of addressing homelessness and emergency accommodation.  The improvement of this sector is also likely to increase demand of housing and attract good landlords to an area, which will hopefully encourage the bringing back into use of any empty homes.</w:t>
      </w:r>
    </w:p>
    <w:p w14:paraId="34BAB146" w14:textId="77777777" w:rsidR="00FB3437" w:rsidRDefault="00FB3437" w:rsidP="00FB3437">
      <w:pPr>
        <w:tabs>
          <w:tab w:val="left" w:pos="10"/>
        </w:tabs>
        <w:rPr>
          <w:rFonts w:cs="Arial"/>
          <w:szCs w:val="24"/>
          <w:lang w:eastAsia="en-GB"/>
        </w:rPr>
      </w:pPr>
    </w:p>
    <w:p w14:paraId="34BAB147" w14:textId="77777777" w:rsidR="00FB3437" w:rsidRDefault="00E66293" w:rsidP="00E66293">
      <w:pPr>
        <w:tabs>
          <w:tab w:val="left" w:pos="10"/>
        </w:tabs>
        <w:ind w:left="720" w:hanging="720"/>
        <w:rPr>
          <w:rFonts w:cs="Arial"/>
          <w:szCs w:val="24"/>
          <w:lang w:eastAsia="en-GB"/>
        </w:rPr>
      </w:pPr>
      <w:r>
        <w:rPr>
          <w:rFonts w:cs="Arial"/>
          <w:szCs w:val="24"/>
          <w:lang w:eastAsia="en-GB"/>
        </w:rPr>
        <w:lastRenderedPageBreak/>
        <w:t>1.26</w:t>
      </w:r>
      <w:r>
        <w:rPr>
          <w:rFonts w:cs="Arial"/>
          <w:szCs w:val="24"/>
          <w:lang w:eastAsia="en-GB"/>
        </w:rPr>
        <w:tab/>
      </w:r>
      <w:r w:rsidR="00031C54">
        <w:rPr>
          <w:rFonts w:cs="Arial"/>
          <w:szCs w:val="24"/>
          <w:lang w:eastAsia="en-GB"/>
        </w:rPr>
        <w:t xml:space="preserve">Harrow has endeavoured to inspect all premises that fall under the Selective Licensing scheme to assess them under the Housing Health and Safety Rating Scheme, to ensure they are safe for habitation and meet at the very least basic needs. </w:t>
      </w:r>
    </w:p>
    <w:p w14:paraId="34BAB148" w14:textId="77777777" w:rsidR="00E66293" w:rsidRDefault="00E66293" w:rsidP="00E66293">
      <w:pPr>
        <w:tabs>
          <w:tab w:val="left" w:pos="10"/>
        </w:tabs>
        <w:ind w:left="720" w:hanging="720"/>
        <w:rPr>
          <w:rFonts w:cs="Arial"/>
          <w:szCs w:val="24"/>
          <w:lang w:eastAsia="en-GB"/>
        </w:rPr>
      </w:pPr>
    </w:p>
    <w:p w14:paraId="34BAB149" w14:textId="77777777" w:rsidR="00E66293" w:rsidRPr="0067687A" w:rsidRDefault="00031C54" w:rsidP="00E66293">
      <w:pPr>
        <w:rPr>
          <w:rFonts w:cs="Arial"/>
          <w:b/>
          <w:bCs/>
        </w:rPr>
      </w:pPr>
      <w:r w:rsidRPr="0067687A">
        <w:rPr>
          <w:rFonts w:cs="Arial"/>
          <w:b/>
          <w:bCs/>
        </w:rPr>
        <w:t>So has the scheme been successful and why should it be renewed</w:t>
      </w:r>
    </w:p>
    <w:p w14:paraId="34BAB14A" w14:textId="77777777" w:rsidR="00E66293" w:rsidRDefault="00E66293" w:rsidP="00E66293">
      <w:pPr>
        <w:rPr>
          <w:rFonts w:cs="Arial"/>
        </w:rPr>
      </w:pPr>
    </w:p>
    <w:p w14:paraId="34BAB14B" w14:textId="77777777" w:rsidR="00E66293" w:rsidRPr="00C31DBE" w:rsidRDefault="00031C54" w:rsidP="00E66293">
      <w:pPr>
        <w:ind w:left="720" w:hanging="720"/>
        <w:rPr>
          <w:rFonts w:cs="Arial"/>
        </w:rPr>
      </w:pPr>
      <w:r>
        <w:rPr>
          <w:rFonts w:cs="Arial"/>
        </w:rPr>
        <w:t xml:space="preserve">1.27 </w:t>
      </w:r>
      <w:r>
        <w:rPr>
          <w:rFonts w:cs="Arial"/>
        </w:rPr>
        <w:tab/>
        <w:t>In 2015, the Council set out some key aims it hoped to achieve under the Selective Licensing scheme being a reduction of</w:t>
      </w:r>
    </w:p>
    <w:p w14:paraId="34BAB14C" w14:textId="77777777" w:rsidR="00E66293" w:rsidRDefault="00E66293" w:rsidP="00E66293">
      <w:pPr>
        <w:rPr>
          <w:rFonts w:cs="Arial"/>
          <w:szCs w:val="24"/>
        </w:rPr>
      </w:pPr>
    </w:p>
    <w:p w14:paraId="34BAB14D" w14:textId="77777777" w:rsidR="00E66293" w:rsidRDefault="00031C54" w:rsidP="00E66293">
      <w:pPr>
        <w:numPr>
          <w:ilvl w:val="0"/>
          <w:numId w:val="27"/>
        </w:numPr>
        <w:rPr>
          <w:rFonts w:cs="Arial"/>
          <w:szCs w:val="24"/>
        </w:rPr>
      </w:pPr>
      <w:r>
        <w:rPr>
          <w:rFonts w:cs="Arial"/>
          <w:szCs w:val="24"/>
        </w:rPr>
        <w:t xml:space="preserve">Accumulation of waste </w:t>
      </w:r>
    </w:p>
    <w:p w14:paraId="34BAB14E" w14:textId="77777777" w:rsidR="00E66293" w:rsidRDefault="00031C54" w:rsidP="00E66293">
      <w:pPr>
        <w:numPr>
          <w:ilvl w:val="0"/>
          <w:numId w:val="27"/>
        </w:numPr>
        <w:rPr>
          <w:rFonts w:cs="Arial"/>
          <w:szCs w:val="24"/>
        </w:rPr>
      </w:pPr>
      <w:r>
        <w:rPr>
          <w:rFonts w:cs="Arial"/>
          <w:szCs w:val="24"/>
        </w:rPr>
        <w:t>Drug and alcohol related crime</w:t>
      </w:r>
    </w:p>
    <w:p w14:paraId="34BAB14F" w14:textId="77777777" w:rsidR="00E66293" w:rsidRDefault="00031C54" w:rsidP="00E66293">
      <w:pPr>
        <w:numPr>
          <w:ilvl w:val="0"/>
          <w:numId w:val="27"/>
        </w:numPr>
        <w:rPr>
          <w:rFonts w:cs="Arial"/>
          <w:szCs w:val="24"/>
        </w:rPr>
      </w:pPr>
      <w:r>
        <w:rPr>
          <w:rFonts w:cs="Arial"/>
          <w:szCs w:val="24"/>
        </w:rPr>
        <w:t>Gang nuisance</w:t>
      </w:r>
    </w:p>
    <w:p w14:paraId="34BAB150" w14:textId="77777777" w:rsidR="00E66293" w:rsidRDefault="00031C54" w:rsidP="00E66293">
      <w:pPr>
        <w:numPr>
          <w:ilvl w:val="0"/>
          <w:numId w:val="27"/>
        </w:numPr>
        <w:rPr>
          <w:rFonts w:cs="Arial"/>
          <w:szCs w:val="24"/>
        </w:rPr>
      </w:pPr>
      <w:r>
        <w:rPr>
          <w:rFonts w:cs="Arial"/>
          <w:szCs w:val="24"/>
        </w:rPr>
        <w:t>Illegal conversions</w:t>
      </w:r>
    </w:p>
    <w:p w14:paraId="34BAB151" w14:textId="77777777" w:rsidR="00E66293" w:rsidRDefault="00031C54" w:rsidP="00E66293">
      <w:pPr>
        <w:numPr>
          <w:ilvl w:val="0"/>
          <w:numId w:val="27"/>
        </w:numPr>
        <w:rPr>
          <w:rFonts w:cs="Arial"/>
          <w:szCs w:val="24"/>
        </w:rPr>
      </w:pPr>
      <w:r>
        <w:rPr>
          <w:rFonts w:cs="Arial"/>
          <w:szCs w:val="24"/>
        </w:rPr>
        <w:t>Negativity due to badly managed and poorly maintained properties</w:t>
      </w:r>
    </w:p>
    <w:p w14:paraId="34BAB152" w14:textId="77777777" w:rsidR="00E66293" w:rsidRDefault="00031C54" w:rsidP="00E66293">
      <w:pPr>
        <w:numPr>
          <w:ilvl w:val="0"/>
          <w:numId w:val="27"/>
        </w:numPr>
        <w:rPr>
          <w:rFonts w:cs="Arial"/>
          <w:szCs w:val="24"/>
        </w:rPr>
      </w:pPr>
      <w:r>
        <w:rPr>
          <w:rFonts w:cs="Arial"/>
          <w:szCs w:val="24"/>
        </w:rPr>
        <w:t>Overcrowding</w:t>
      </w:r>
    </w:p>
    <w:p w14:paraId="34BAB153" w14:textId="77777777" w:rsidR="00E66293" w:rsidRDefault="00031C54" w:rsidP="00E66293">
      <w:pPr>
        <w:numPr>
          <w:ilvl w:val="0"/>
          <w:numId w:val="27"/>
        </w:numPr>
        <w:rPr>
          <w:rFonts w:cs="Arial"/>
          <w:szCs w:val="24"/>
        </w:rPr>
      </w:pPr>
      <w:r>
        <w:rPr>
          <w:rFonts w:cs="Arial"/>
          <w:szCs w:val="24"/>
        </w:rPr>
        <w:t>Sub-letting</w:t>
      </w:r>
    </w:p>
    <w:p w14:paraId="34BAB154" w14:textId="77777777" w:rsidR="00E66293" w:rsidRDefault="00031C54" w:rsidP="00E66293">
      <w:pPr>
        <w:numPr>
          <w:ilvl w:val="0"/>
          <w:numId w:val="27"/>
        </w:numPr>
        <w:rPr>
          <w:rFonts w:cs="Arial"/>
          <w:szCs w:val="24"/>
        </w:rPr>
      </w:pPr>
      <w:r>
        <w:rPr>
          <w:rFonts w:cs="Arial"/>
          <w:szCs w:val="24"/>
        </w:rPr>
        <w:t>Vandalism</w:t>
      </w:r>
    </w:p>
    <w:p w14:paraId="34BAB155" w14:textId="77777777" w:rsidR="00E66293" w:rsidRDefault="00031C54" w:rsidP="00E66293">
      <w:pPr>
        <w:numPr>
          <w:ilvl w:val="0"/>
          <w:numId w:val="27"/>
        </w:numPr>
        <w:rPr>
          <w:rFonts w:cs="Arial"/>
          <w:szCs w:val="24"/>
        </w:rPr>
      </w:pPr>
      <w:r>
        <w:rPr>
          <w:rFonts w:cs="Arial"/>
          <w:szCs w:val="24"/>
        </w:rPr>
        <w:t>Transient population, leading to a more stable community</w:t>
      </w:r>
    </w:p>
    <w:p w14:paraId="34BAB156" w14:textId="77777777" w:rsidR="00E66293" w:rsidRDefault="00E66293" w:rsidP="00E66293"/>
    <w:p w14:paraId="34BAB157" w14:textId="77777777" w:rsidR="00E66293" w:rsidRDefault="00031C54" w:rsidP="00E66293">
      <w:pPr>
        <w:ind w:left="720" w:hanging="720"/>
      </w:pPr>
      <w:r>
        <w:t>1.28</w:t>
      </w:r>
      <w:r>
        <w:tab/>
        <w:t xml:space="preserve">In simple numbers, the scheme has been a success in terms of premises licensed and, as a result of that, being raised in terms of management and standards based on inspections conducted and conditions imposed. </w:t>
      </w:r>
    </w:p>
    <w:p w14:paraId="34BAB158" w14:textId="77777777" w:rsidR="00E66293" w:rsidRDefault="00E66293" w:rsidP="00E66293"/>
    <w:p w14:paraId="34BAB159" w14:textId="77777777" w:rsidR="00E66293" w:rsidRDefault="00031C54" w:rsidP="00E66293">
      <w:pPr>
        <w:ind w:left="720" w:hanging="720"/>
      </w:pPr>
      <w:r>
        <w:t>1.29</w:t>
      </w:r>
      <w:r>
        <w:tab/>
        <w:t>An analysis of enforcement cases since 2015 also shows the issues occurring in Wealdstone:</w:t>
      </w:r>
    </w:p>
    <w:p w14:paraId="34BAB15A" w14:textId="77777777" w:rsidR="00E66293" w:rsidRDefault="00E66293" w:rsidP="00E66293"/>
    <w:tbl>
      <w:tblPr>
        <w:tblW w:w="5000" w:type="pct"/>
        <w:tblLook w:val="04A0" w:firstRow="1" w:lastRow="0" w:firstColumn="1" w:lastColumn="0" w:noHBand="0" w:noVBand="1"/>
      </w:tblPr>
      <w:tblGrid>
        <w:gridCol w:w="3007"/>
        <w:gridCol w:w="761"/>
        <w:gridCol w:w="761"/>
        <w:gridCol w:w="761"/>
        <w:gridCol w:w="761"/>
        <w:gridCol w:w="762"/>
        <w:gridCol w:w="762"/>
        <w:gridCol w:w="950"/>
      </w:tblGrid>
      <w:tr w:rsidR="00B766D8" w14:paraId="34BAB163" w14:textId="77777777" w:rsidTr="00E66293">
        <w:trPr>
          <w:trHeight w:val="263"/>
        </w:trPr>
        <w:tc>
          <w:tcPr>
            <w:tcW w:w="1527" w:type="pct"/>
            <w:tcBorders>
              <w:top w:val="single" w:sz="4" w:space="0" w:color="auto"/>
              <w:left w:val="single" w:sz="4" w:space="0" w:color="auto"/>
              <w:bottom w:val="single" w:sz="4" w:space="0" w:color="auto"/>
              <w:right w:val="single" w:sz="4" w:space="0" w:color="auto"/>
            </w:tcBorders>
            <w:shd w:val="clear" w:color="000000" w:fill="FFFF00"/>
            <w:noWrap/>
            <w:hideMark/>
          </w:tcPr>
          <w:p w14:paraId="34BAB15B" w14:textId="77777777" w:rsidR="00E66293" w:rsidRPr="000A12DE" w:rsidRDefault="00031C54" w:rsidP="00DA07EC">
            <w:pPr>
              <w:rPr>
                <w:rFonts w:cs="Arial"/>
                <w:b/>
                <w:bCs/>
                <w:color w:val="000000"/>
                <w:sz w:val="20"/>
                <w:lang w:eastAsia="en-GB"/>
              </w:rPr>
            </w:pPr>
            <w:r w:rsidRPr="000A12DE">
              <w:rPr>
                <w:rFonts w:cs="Arial"/>
                <w:b/>
                <w:bCs/>
                <w:color w:val="000000"/>
                <w:sz w:val="20"/>
                <w:lang w:eastAsia="en-GB"/>
              </w:rPr>
              <w:t>Description</w:t>
            </w:r>
          </w:p>
        </w:tc>
        <w:tc>
          <w:tcPr>
            <w:tcW w:w="496" w:type="pct"/>
            <w:tcBorders>
              <w:top w:val="single" w:sz="4" w:space="0" w:color="auto"/>
              <w:left w:val="nil"/>
              <w:bottom w:val="single" w:sz="4" w:space="0" w:color="auto"/>
              <w:right w:val="single" w:sz="4" w:space="0" w:color="auto"/>
            </w:tcBorders>
            <w:shd w:val="clear" w:color="000000" w:fill="FFFF00"/>
            <w:noWrap/>
            <w:hideMark/>
          </w:tcPr>
          <w:p w14:paraId="34BAB15C" w14:textId="77777777" w:rsidR="00E66293" w:rsidRPr="000A12DE" w:rsidRDefault="00031C54" w:rsidP="00DA07EC">
            <w:pPr>
              <w:jc w:val="right"/>
              <w:rPr>
                <w:rFonts w:cs="Arial"/>
                <w:b/>
                <w:bCs/>
                <w:color w:val="000000"/>
                <w:sz w:val="20"/>
                <w:lang w:eastAsia="en-GB"/>
              </w:rPr>
            </w:pPr>
            <w:r w:rsidRPr="000A12DE">
              <w:rPr>
                <w:rFonts w:cs="Arial"/>
                <w:b/>
                <w:bCs/>
                <w:color w:val="000000"/>
                <w:sz w:val="20"/>
                <w:lang w:eastAsia="en-GB"/>
              </w:rPr>
              <w:t>2015</w:t>
            </w:r>
          </w:p>
        </w:tc>
        <w:tc>
          <w:tcPr>
            <w:tcW w:w="496" w:type="pct"/>
            <w:tcBorders>
              <w:top w:val="single" w:sz="4" w:space="0" w:color="auto"/>
              <w:left w:val="nil"/>
              <w:bottom w:val="single" w:sz="4" w:space="0" w:color="auto"/>
              <w:right w:val="single" w:sz="4" w:space="0" w:color="auto"/>
            </w:tcBorders>
            <w:shd w:val="clear" w:color="000000" w:fill="FFFF00"/>
            <w:noWrap/>
            <w:hideMark/>
          </w:tcPr>
          <w:p w14:paraId="34BAB15D" w14:textId="77777777" w:rsidR="00E66293" w:rsidRPr="000A12DE" w:rsidRDefault="00031C54" w:rsidP="00DA07EC">
            <w:pPr>
              <w:jc w:val="right"/>
              <w:rPr>
                <w:rFonts w:cs="Arial"/>
                <w:b/>
                <w:bCs/>
                <w:color w:val="000000"/>
                <w:sz w:val="20"/>
                <w:lang w:eastAsia="en-GB"/>
              </w:rPr>
            </w:pPr>
            <w:r w:rsidRPr="000A12DE">
              <w:rPr>
                <w:rFonts w:cs="Arial"/>
                <w:b/>
                <w:bCs/>
                <w:color w:val="000000"/>
                <w:sz w:val="20"/>
                <w:lang w:eastAsia="en-GB"/>
              </w:rPr>
              <w:t>2016</w:t>
            </w:r>
          </w:p>
        </w:tc>
        <w:tc>
          <w:tcPr>
            <w:tcW w:w="496" w:type="pct"/>
            <w:tcBorders>
              <w:top w:val="single" w:sz="4" w:space="0" w:color="auto"/>
              <w:left w:val="nil"/>
              <w:bottom w:val="single" w:sz="4" w:space="0" w:color="auto"/>
              <w:right w:val="single" w:sz="4" w:space="0" w:color="auto"/>
            </w:tcBorders>
            <w:shd w:val="clear" w:color="000000" w:fill="FFFF00"/>
            <w:noWrap/>
            <w:hideMark/>
          </w:tcPr>
          <w:p w14:paraId="34BAB15E" w14:textId="77777777" w:rsidR="00E66293" w:rsidRPr="000A12DE" w:rsidRDefault="00031C54" w:rsidP="00DA07EC">
            <w:pPr>
              <w:jc w:val="right"/>
              <w:rPr>
                <w:rFonts w:cs="Arial"/>
                <w:b/>
                <w:bCs/>
                <w:color w:val="000000"/>
                <w:sz w:val="20"/>
                <w:lang w:eastAsia="en-GB"/>
              </w:rPr>
            </w:pPr>
            <w:r w:rsidRPr="000A12DE">
              <w:rPr>
                <w:rFonts w:cs="Arial"/>
                <w:b/>
                <w:bCs/>
                <w:color w:val="000000"/>
                <w:sz w:val="20"/>
                <w:lang w:eastAsia="en-GB"/>
              </w:rPr>
              <w:t>2017</w:t>
            </w:r>
          </w:p>
        </w:tc>
        <w:tc>
          <w:tcPr>
            <w:tcW w:w="496" w:type="pct"/>
            <w:tcBorders>
              <w:top w:val="single" w:sz="4" w:space="0" w:color="auto"/>
              <w:left w:val="nil"/>
              <w:bottom w:val="single" w:sz="4" w:space="0" w:color="auto"/>
              <w:right w:val="single" w:sz="4" w:space="0" w:color="auto"/>
            </w:tcBorders>
            <w:shd w:val="clear" w:color="000000" w:fill="FFFF00"/>
            <w:noWrap/>
            <w:hideMark/>
          </w:tcPr>
          <w:p w14:paraId="34BAB15F" w14:textId="77777777" w:rsidR="00E66293" w:rsidRPr="000A12DE" w:rsidRDefault="00031C54" w:rsidP="00DA07EC">
            <w:pPr>
              <w:jc w:val="right"/>
              <w:rPr>
                <w:rFonts w:cs="Arial"/>
                <w:b/>
                <w:bCs/>
                <w:color w:val="000000"/>
                <w:sz w:val="20"/>
                <w:lang w:eastAsia="en-GB"/>
              </w:rPr>
            </w:pPr>
            <w:r w:rsidRPr="000A12DE">
              <w:rPr>
                <w:rFonts w:cs="Arial"/>
                <w:b/>
                <w:bCs/>
                <w:color w:val="000000"/>
                <w:sz w:val="20"/>
                <w:lang w:eastAsia="en-GB"/>
              </w:rPr>
              <w:t>2018</w:t>
            </w:r>
          </w:p>
        </w:tc>
        <w:tc>
          <w:tcPr>
            <w:tcW w:w="496" w:type="pct"/>
            <w:tcBorders>
              <w:top w:val="single" w:sz="4" w:space="0" w:color="auto"/>
              <w:left w:val="nil"/>
              <w:bottom w:val="single" w:sz="4" w:space="0" w:color="auto"/>
              <w:right w:val="single" w:sz="4" w:space="0" w:color="auto"/>
            </w:tcBorders>
            <w:shd w:val="clear" w:color="000000" w:fill="FFFF00"/>
            <w:noWrap/>
            <w:hideMark/>
          </w:tcPr>
          <w:p w14:paraId="34BAB160" w14:textId="77777777" w:rsidR="00E66293" w:rsidRPr="000A12DE" w:rsidRDefault="00031C54" w:rsidP="00DA07EC">
            <w:pPr>
              <w:jc w:val="right"/>
              <w:rPr>
                <w:rFonts w:cs="Arial"/>
                <w:b/>
                <w:bCs/>
                <w:color w:val="000000"/>
                <w:sz w:val="20"/>
                <w:lang w:eastAsia="en-GB"/>
              </w:rPr>
            </w:pPr>
            <w:r w:rsidRPr="000A12DE">
              <w:rPr>
                <w:rFonts w:cs="Arial"/>
                <w:b/>
                <w:bCs/>
                <w:color w:val="000000"/>
                <w:sz w:val="20"/>
                <w:lang w:eastAsia="en-GB"/>
              </w:rPr>
              <w:t>2019</w:t>
            </w:r>
          </w:p>
        </w:tc>
        <w:tc>
          <w:tcPr>
            <w:tcW w:w="496" w:type="pct"/>
            <w:tcBorders>
              <w:top w:val="single" w:sz="4" w:space="0" w:color="auto"/>
              <w:left w:val="nil"/>
              <w:bottom w:val="single" w:sz="4" w:space="0" w:color="auto"/>
              <w:right w:val="single" w:sz="4" w:space="0" w:color="auto"/>
            </w:tcBorders>
            <w:shd w:val="clear" w:color="000000" w:fill="FFFF00"/>
            <w:noWrap/>
            <w:hideMark/>
          </w:tcPr>
          <w:p w14:paraId="34BAB161" w14:textId="77777777" w:rsidR="00E66293" w:rsidRPr="000A12DE" w:rsidRDefault="00031C54" w:rsidP="00DA07EC">
            <w:pPr>
              <w:jc w:val="right"/>
              <w:rPr>
                <w:rFonts w:cs="Arial"/>
                <w:b/>
                <w:bCs/>
                <w:color w:val="000000"/>
                <w:sz w:val="20"/>
                <w:lang w:eastAsia="en-GB"/>
              </w:rPr>
            </w:pPr>
            <w:r w:rsidRPr="000A12DE">
              <w:rPr>
                <w:rFonts w:cs="Arial"/>
                <w:b/>
                <w:bCs/>
                <w:color w:val="000000"/>
                <w:sz w:val="20"/>
                <w:lang w:eastAsia="en-GB"/>
              </w:rPr>
              <w:t>2020</w:t>
            </w:r>
          </w:p>
        </w:tc>
        <w:tc>
          <w:tcPr>
            <w:tcW w:w="496" w:type="pct"/>
            <w:tcBorders>
              <w:top w:val="single" w:sz="4" w:space="0" w:color="auto"/>
              <w:left w:val="nil"/>
              <w:bottom w:val="single" w:sz="4" w:space="0" w:color="auto"/>
              <w:right w:val="single" w:sz="4" w:space="0" w:color="auto"/>
            </w:tcBorders>
            <w:shd w:val="clear" w:color="000000" w:fill="FFFF00"/>
            <w:noWrap/>
            <w:hideMark/>
          </w:tcPr>
          <w:p w14:paraId="34BAB162" w14:textId="77777777" w:rsidR="00E66293" w:rsidRPr="000A12DE" w:rsidRDefault="00031C54" w:rsidP="00DA07EC">
            <w:pPr>
              <w:jc w:val="center"/>
              <w:rPr>
                <w:rFonts w:cs="Arial"/>
                <w:b/>
                <w:bCs/>
                <w:color w:val="000000"/>
                <w:sz w:val="20"/>
                <w:lang w:eastAsia="en-GB"/>
              </w:rPr>
            </w:pPr>
            <w:r w:rsidRPr="000A12DE">
              <w:rPr>
                <w:rFonts w:cs="Arial"/>
                <w:b/>
                <w:bCs/>
                <w:color w:val="000000"/>
                <w:sz w:val="20"/>
                <w:lang w:eastAsia="en-GB"/>
              </w:rPr>
              <w:t>Change</w:t>
            </w:r>
          </w:p>
        </w:tc>
      </w:tr>
      <w:tr w:rsidR="00B766D8" w14:paraId="34BAB16C"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64" w14:textId="77777777" w:rsidR="00E66293" w:rsidRPr="000A12DE" w:rsidRDefault="00031C54" w:rsidP="00DA07EC">
            <w:pPr>
              <w:rPr>
                <w:rFonts w:cs="Arial"/>
                <w:color w:val="000000"/>
                <w:sz w:val="20"/>
                <w:lang w:eastAsia="en-GB"/>
              </w:rPr>
            </w:pPr>
            <w:r w:rsidRPr="000A12DE">
              <w:rPr>
                <w:rFonts w:cs="Arial"/>
                <w:color w:val="000000"/>
                <w:sz w:val="20"/>
                <w:lang w:eastAsia="en-GB"/>
              </w:rPr>
              <w:t>Abandoned vehicle report</w:t>
            </w:r>
          </w:p>
        </w:tc>
        <w:tc>
          <w:tcPr>
            <w:tcW w:w="496" w:type="pct"/>
            <w:tcBorders>
              <w:top w:val="nil"/>
              <w:left w:val="nil"/>
              <w:bottom w:val="single" w:sz="4" w:space="0" w:color="auto"/>
              <w:right w:val="single" w:sz="4" w:space="0" w:color="auto"/>
            </w:tcBorders>
            <w:shd w:val="clear" w:color="auto" w:fill="auto"/>
            <w:noWrap/>
            <w:hideMark/>
          </w:tcPr>
          <w:p w14:paraId="34BAB165"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55</w:t>
            </w:r>
          </w:p>
        </w:tc>
        <w:tc>
          <w:tcPr>
            <w:tcW w:w="496" w:type="pct"/>
            <w:tcBorders>
              <w:top w:val="nil"/>
              <w:left w:val="nil"/>
              <w:bottom w:val="single" w:sz="4" w:space="0" w:color="auto"/>
              <w:right w:val="single" w:sz="4" w:space="0" w:color="auto"/>
            </w:tcBorders>
            <w:shd w:val="clear" w:color="auto" w:fill="auto"/>
            <w:noWrap/>
            <w:hideMark/>
          </w:tcPr>
          <w:p w14:paraId="34BAB166"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125</w:t>
            </w:r>
          </w:p>
        </w:tc>
        <w:tc>
          <w:tcPr>
            <w:tcW w:w="496" w:type="pct"/>
            <w:tcBorders>
              <w:top w:val="nil"/>
              <w:left w:val="nil"/>
              <w:bottom w:val="single" w:sz="4" w:space="0" w:color="auto"/>
              <w:right w:val="single" w:sz="4" w:space="0" w:color="auto"/>
            </w:tcBorders>
            <w:shd w:val="clear" w:color="auto" w:fill="auto"/>
            <w:noWrap/>
            <w:hideMark/>
          </w:tcPr>
          <w:p w14:paraId="34BAB167"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81</w:t>
            </w:r>
          </w:p>
        </w:tc>
        <w:tc>
          <w:tcPr>
            <w:tcW w:w="496" w:type="pct"/>
            <w:tcBorders>
              <w:top w:val="nil"/>
              <w:left w:val="nil"/>
              <w:bottom w:val="single" w:sz="4" w:space="0" w:color="auto"/>
              <w:right w:val="single" w:sz="4" w:space="0" w:color="auto"/>
            </w:tcBorders>
            <w:shd w:val="clear" w:color="auto" w:fill="auto"/>
            <w:noWrap/>
            <w:hideMark/>
          </w:tcPr>
          <w:p w14:paraId="34BAB168"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88</w:t>
            </w:r>
          </w:p>
        </w:tc>
        <w:tc>
          <w:tcPr>
            <w:tcW w:w="496" w:type="pct"/>
            <w:tcBorders>
              <w:top w:val="nil"/>
              <w:left w:val="nil"/>
              <w:bottom w:val="single" w:sz="4" w:space="0" w:color="auto"/>
              <w:right w:val="single" w:sz="4" w:space="0" w:color="auto"/>
            </w:tcBorders>
            <w:shd w:val="clear" w:color="auto" w:fill="auto"/>
            <w:noWrap/>
            <w:hideMark/>
          </w:tcPr>
          <w:p w14:paraId="34BAB169"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29</w:t>
            </w:r>
          </w:p>
        </w:tc>
        <w:tc>
          <w:tcPr>
            <w:tcW w:w="496" w:type="pct"/>
            <w:tcBorders>
              <w:top w:val="nil"/>
              <w:left w:val="nil"/>
              <w:bottom w:val="single" w:sz="4" w:space="0" w:color="auto"/>
              <w:right w:val="single" w:sz="4" w:space="0" w:color="auto"/>
            </w:tcBorders>
            <w:shd w:val="clear" w:color="auto" w:fill="auto"/>
            <w:noWrap/>
            <w:hideMark/>
          </w:tcPr>
          <w:p w14:paraId="34BAB16A"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29</w:t>
            </w:r>
          </w:p>
        </w:tc>
        <w:tc>
          <w:tcPr>
            <w:tcW w:w="496" w:type="pct"/>
            <w:tcBorders>
              <w:top w:val="nil"/>
              <w:left w:val="nil"/>
              <w:bottom w:val="single" w:sz="4" w:space="0" w:color="auto"/>
              <w:right w:val="single" w:sz="4" w:space="0" w:color="auto"/>
            </w:tcBorders>
            <w:shd w:val="clear" w:color="000000" w:fill="E2EFDA"/>
            <w:noWrap/>
            <w:hideMark/>
          </w:tcPr>
          <w:p w14:paraId="34BAB16B"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75"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6D" w14:textId="77777777" w:rsidR="00E66293" w:rsidRPr="000A12DE" w:rsidRDefault="00031C54" w:rsidP="00DA07EC">
            <w:pPr>
              <w:rPr>
                <w:rFonts w:cs="Arial"/>
                <w:color w:val="000000"/>
                <w:sz w:val="20"/>
                <w:lang w:eastAsia="en-GB"/>
              </w:rPr>
            </w:pPr>
            <w:r w:rsidRPr="000A12DE">
              <w:rPr>
                <w:rFonts w:cs="Arial"/>
                <w:color w:val="000000"/>
                <w:sz w:val="20"/>
                <w:lang w:eastAsia="en-GB"/>
              </w:rPr>
              <w:t>Drug substance misuse dealing</w:t>
            </w:r>
          </w:p>
        </w:tc>
        <w:tc>
          <w:tcPr>
            <w:tcW w:w="496" w:type="pct"/>
            <w:tcBorders>
              <w:top w:val="nil"/>
              <w:left w:val="nil"/>
              <w:bottom w:val="single" w:sz="4" w:space="0" w:color="auto"/>
              <w:right w:val="single" w:sz="4" w:space="0" w:color="auto"/>
            </w:tcBorders>
            <w:shd w:val="clear" w:color="auto" w:fill="auto"/>
            <w:noWrap/>
            <w:hideMark/>
          </w:tcPr>
          <w:p w14:paraId="34BAB16E"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w:t>
            </w:r>
          </w:p>
        </w:tc>
        <w:tc>
          <w:tcPr>
            <w:tcW w:w="496" w:type="pct"/>
            <w:tcBorders>
              <w:top w:val="nil"/>
              <w:left w:val="nil"/>
              <w:bottom w:val="single" w:sz="4" w:space="0" w:color="auto"/>
              <w:right w:val="single" w:sz="4" w:space="0" w:color="auto"/>
            </w:tcBorders>
            <w:shd w:val="clear" w:color="auto" w:fill="auto"/>
            <w:noWrap/>
            <w:hideMark/>
          </w:tcPr>
          <w:p w14:paraId="34BAB16F"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auto" w:fill="auto"/>
            <w:noWrap/>
            <w:hideMark/>
          </w:tcPr>
          <w:p w14:paraId="34BAB170"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auto" w:fill="auto"/>
            <w:noWrap/>
            <w:hideMark/>
          </w:tcPr>
          <w:p w14:paraId="34BAB171"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auto" w:fill="auto"/>
            <w:noWrap/>
            <w:hideMark/>
          </w:tcPr>
          <w:p w14:paraId="34BAB172"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7</w:t>
            </w:r>
          </w:p>
        </w:tc>
        <w:tc>
          <w:tcPr>
            <w:tcW w:w="496" w:type="pct"/>
            <w:tcBorders>
              <w:top w:val="nil"/>
              <w:left w:val="nil"/>
              <w:bottom w:val="single" w:sz="4" w:space="0" w:color="auto"/>
              <w:right w:val="single" w:sz="4" w:space="0" w:color="auto"/>
            </w:tcBorders>
            <w:shd w:val="clear" w:color="auto" w:fill="auto"/>
            <w:noWrap/>
            <w:hideMark/>
          </w:tcPr>
          <w:p w14:paraId="34BAB173"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8</w:t>
            </w:r>
          </w:p>
        </w:tc>
        <w:tc>
          <w:tcPr>
            <w:tcW w:w="496" w:type="pct"/>
            <w:tcBorders>
              <w:top w:val="nil"/>
              <w:left w:val="nil"/>
              <w:bottom w:val="single" w:sz="4" w:space="0" w:color="auto"/>
              <w:right w:val="single" w:sz="4" w:space="0" w:color="auto"/>
            </w:tcBorders>
            <w:shd w:val="clear" w:color="000000" w:fill="FFF2CC"/>
            <w:noWrap/>
            <w:hideMark/>
          </w:tcPr>
          <w:p w14:paraId="34BAB174"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7E"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76" w14:textId="77777777" w:rsidR="00E66293" w:rsidRPr="000A12DE" w:rsidRDefault="00031C54" w:rsidP="00DA07EC">
            <w:pPr>
              <w:rPr>
                <w:rFonts w:cs="Arial"/>
                <w:color w:val="000000"/>
                <w:sz w:val="20"/>
                <w:lang w:eastAsia="en-GB"/>
              </w:rPr>
            </w:pPr>
            <w:proofErr w:type="spellStart"/>
            <w:r w:rsidRPr="000A12DE">
              <w:rPr>
                <w:rFonts w:cs="Arial"/>
                <w:color w:val="000000"/>
                <w:sz w:val="20"/>
                <w:lang w:eastAsia="en-GB"/>
              </w:rPr>
              <w:t>Flytip</w:t>
            </w:r>
            <w:proofErr w:type="spellEnd"/>
            <w:r w:rsidRPr="000A12DE">
              <w:rPr>
                <w:rFonts w:cs="Arial"/>
                <w:color w:val="000000"/>
                <w:sz w:val="20"/>
                <w:lang w:eastAsia="en-GB"/>
              </w:rPr>
              <w:t xml:space="preserve"> small - council</w:t>
            </w:r>
          </w:p>
        </w:tc>
        <w:tc>
          <w:tcPr>
            <w:tcW w:w="496" w:type="pct"/>
            <w:tcBorders>
              <w:top w:val="nil"/>
              <w:left w:val="nil"/>
              <w:bottom w:val="single" w:sz="4" w:space="0" w:color="auto"/>
              <w:right w:val="single" w:sz="4" w:space="0" w:color="auto"/>
            </w:tcBorders>
            <w:shd w:val="clear" w:color="auto" w:fill="auto"/>
            <w:noWrap/>
            <w:hideMark/>
          </w:tcPr>
          <w:p w14:paraId="34BAB177"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70</w:t>
            </w:r>
          </w:p>
        </w:tc>
        <w:tc>
          <w:tcPr>
            <w:tcW w:w="496" w:type="pct"/>
            <w:tcBorders>
              <w:top w:val="nil"/>
              <w:left w:val="nil"/>
              <w:bottom w:val="single" w:sz="4" w:space="0" w:color="auto"/>
              <w:right w:val="single" w:sz="4" w:space="0" w:color="auto"/>
            </w:tcBorders>
            <w:shd w:val="clear" w:color="auto" w:fill="auto"/>
            <w:noWrap/>
            <w:hideMark/>
          </w:tcPr>
          <w:p w14:paraId="34BAB178"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66</w:t>
            </w:r>
          </w:p>
        </w:tc>
        <w:tc>
          <w:tcPr>
            <w:tcW w:w="496" w:type="pct"/>
            <w:tcBorders>
              <w:top w:val="nil"/>
              <w:left w:val="nil"/>
              <w:bottom w:val="single" w:sz="4" w:space="0" w:color="auto"/>
              <w:right w:val="single" w:sz="4" w:space="0" w:color="auto"/>
            </w:tcBorders>
            <w:shd w:val="clear" w:color="auto" w:fill="auto"/>
            <w:noWrap/>
            <w:hideMark/>
          </w:tcPr>
          <w:p w14:paraId="34BAB179"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83</w:t>
            </w:r>
          </w:p>
        </w:tc>
        <w:tc>
          <w:tcPr>
            <w:tcW w:w="496" w:type="pct"/>
            <w:tcBorders>
              <w:top w:val="nil"/>
              <w:left w:val="nil"/>
              <w:bottom w:val="single" w:sz="4" w:space="0" w:color="auto"/>
              <w:right w:val="single" w:sz="4" w:space="0" w:color="auto"/>
            </w:tcBorders>
            <w:shd w:val="clear" w:color="auto" w:fill="auto"/>
            <w:noWrap/>
            <w:hideMark/>
          </w:tcPr>
          <w:p w14:paraId="34BAB17A"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129</w:t>
            </w:r>
          </w:p>
        </w:tc>
        <w:tc>
          <w:tcPr>
            <w:tcW w:w="496" w:type="pct"/>
            <w:tcBorders>
              <w:top w:val="nil"/>
              <w:left w:val="nil"/>
              <w:bottom w:val="single" w:sz="4" w:space="0" w:color="auto"/>
              <w:right w:val="single" w:sz="4" w:space="0" w:color="auto"/>
            </w:tcBorders>
            <w:shd w:val="clear" w:color="auto" w:fill="auto"/>
            <w:noWrap/>
            <w:hideMark/>
          </w:tcPr>
          <w:p w14:paraId="34BAB17B"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20</w:t>
            </w:r>
          </w:p>
        </w:tc>
        <w:tc>
          <w:tcPr>
            <w:tcW w:w="496" w:type="pct"/>
            <w:tcBorders>
              <w:top w:val="nil"/>
              <w:left w:val="nil"/>
              <w:bottom w:val="single" w:sz="4" w:space="0" w:color="auto"/>
              <w:right w:val="single" w:sz="4" w:space="0" w:color="auto"/>
            </w:tcBorders>
            <w:shd w:val="clear" w:color="auto" w:fill="auto"/>
            <w:noWrap/>
            <w:hideMark/>
          </w:tcPr>
          <w:p w14:paraId="34BAB17C"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22</w:t>
            </w:r>
          </w:p>
        </w:tc>
        <w:tc>
          <w:tcPr>
            <w:tcW w:w="496" w:type="pct"/>
            <w:tcBorders>
              <w:top w:val="nil"/>
              <w:left w:val="nil"/>
              <w:bottom w:val="single" w:sz="4" w:space="0" w:color="auto"/>
              <w:right w:val="single" w:sz="4" w:space="0" w:color="auto"/>
            </w:tcBorders>
            <w:shd w:val="clear" w:color="000000" w:fill="E2EFDA"/>
            <w:noWrap/>
            <w:hideMark/>
          </w:tcPr>
          <w:p w14:paraId="34BAB17D"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87"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7F" w14:textId="77777777" w:rsidR="00E66293" w:rsidRPr="000A12DE" w:rsidRDefault="00031C54" w:rsidP="00DA07EC">
            <w:pPr>
              <w:rPr>
                <w:rFonts w:cs="Arial"/>
                <w:color w:val="000000"/>
                <w:sz w:val="20"/>
                <w:lang w:eastAsia="en-GB"/>
              </w:rPr>
            </w:pPr>
            <w:r w:rsidRPr="000A12DE">
              <w:rPr>
                <w:rFonts w:cs="Arial"/>
                <w:color w:val="000000"/>
                <w:sz w:val="20"/>
                <w:lang w:eastAsia="en-GB"/>
              </w:rPr>
              <w:t>Housing Dampness</w:t>
            </w:r>
          </w:p>
        </w:tc>
        <w:tc>
          <w:tcPr>
            <w:tcW w:w="496" w:type="pct"/>
            <w:tcBorders>
              <w:top w:val="nil"/>
              <w:left w:val="nil"/>
              <w:bottom w:val="single" w:sz="4" w:space="0" w:color="auto"/>
              <w:right w:val="single" w:sz="4" w:space="0" w:color="auto"/>
            </w:tcBorders>
            <w:shd w:val="clear" w:color="auto" w:fill="auto"/>
            <w:noWrap/>
            <w:hideMark/>
          </w:tcPr>
          <w:p w14:paraId="34BAB180"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5</w:t>
            </w:r>
          </w:p>
        </w:tc>
        <w:tc>
          <w:tcPr>
            <w:tcW w:w="496" w:type="pct"/>
            <w:tcBorders>
              <w:top w:val="nil"/>
              <w:left w:val="nil"/>
              <w:bottom w:val="single" w:sz="4" w:space="0" w:color="auto"/>
              <w:right w:val="single" w:sz="4" w:space="0" w:color="auto"/>
            </w:tcBorders>
            <w:shd w:val="clear" w:color="auto" w:fill="auto"/>
            <w:noWrap/>
            <w:hideMark/>
          </w:tcPr>
          <w:p w14:paraId="34BAB181"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8</w:t>
            </w:r>
          </w:p>
        </w:tc>
        <w:tc>
          <w:tcPr>
            <w:tcW w:w="496" w:type="pct"/>
            <w:tcBorders>
              <w:top w:val="nil"/>
              <w:left w:val="nil"/>
              <w:bottom w:val="single" w:sz="4" w:space="0" w:color="auto"/>
              <w:right w:val="single" w:sz="4" w:space="0" w:color="auto"/>
            </w:tcBorders>
            <w:shd w:val="clear" w:color="auto" w:fill="auto"/>
            <w:noWrap/>
            <w:hideMark/>
          </w:tcPr>
          <w:p w14:paraId="34BAB182"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12</w:t>
            </w:r>
          </w:p>
        </w:tc>
        <w:tc>
          <w:tcPr>
            <w:tcW w:w="496" w:type="pct"/>
            <w:tcBorders>
              <w:top w:val="nil"/>
              <w:left w:val="nil"/>
              <w:bottom w:val="single" w:sz="4" w:space="0" w:color="auto"/>
              <w:right w:val="single" w:sz="4" w:space="0" w:color="auto"/>
            </w:tcBorders>
            <w:shd w:val="clear" w:color="auto" w:fill="auto"/>
            <w:noWrap/>
            <w:hideMark/>
          </w:tcPr>
          <w:p w14:paraId="34BAB183"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12</w:t>
            </w:r>
          </w:p>
        </w:tc>
        <w:tc>
          <w:tcPr>
            <w:tcW w:w="496" w:type="pct"/>
            <w:tcBorders>
              <w:top w:val="nil"/>
              <w:left w:val="nil"/>
              <w:bottom w:val="single" w:sz="4" w:space="0" w:color="auto"/>
              <w:right w:val="single" w:sz="4" w:space="0" w:color="auto"/>
            </w:tcBorders>
            <w:shd w:val="clear" w:color="auto" w:fill="auto"/>
            <w:noWrap/>
            <w:hideMark/>
          </w:tcPr>
          <w:p w14:paraId="34BAB184"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w:t>
            </w:r>
          </w:p>
        </w:tc>
        <w:tc>
          <w:tcPr>
            <w:tcW w:w="496" w:type="pct"/>
            <w:tcBorders>
              <w:top w:val="nil"/>
              <w:left w:val="nil"/>
              <w:bottom w:val="single" w:sz="4" w:space="0" w:color="auto"/>
              <w:right w:val="single" w:sz="4" w:space="0" w:color="auto"/>
            </w:tcBorders>
            <w:shd w:val="clear" w:color="auto" w:fill="auto"/>
            <w:noWrap/>
            <w:hideMark/>
          </w:tcPr>
          <w:p w14:paraId="34BAB185"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w:t>
            </w:r>
          </w:p>
        </w:tc>
        <w:tc>
          <w:tcPr>
            <w:tcW w:w="496" w:type="pct"/>
            <w:tcBorders>
              <w:top w:val="nil"/>
              <w:left w:val="nil"/>
              <w:bottom w:val="single" w:sz="4" w:space="0" w:color="auto"/>
              <w:right w:val="single" w:sz="4" w:space="0" w:color="auto"/>
            </w:tcBorders>
            <w:shd w:val="clear" w:color="000000" w:fill="E2EFDA"/>
            <w:noWrap/>
            <w:hideMark/>
          </w:tcPr>
          <w:p w14:paraId="34BAB186"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90"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88" w14:textId="77777777" w:rsidR="00E66293" w:rsidRPr="000A12DE" w:rsidRDefault="00031C54" w:rsidP="00DA07EC">
            <w:pPr>
              <w:rPr>
                <w:rFonts w:cs="Arial"/>
                <w:color w:val="000000"/>
                <w:sz w:val="20"/>
                <w:lang w:eastAsia="en-GB"/>
              </w:rPr>
            </w:pPr>
            <w:r w:rsidRPr="000A12DE">
              <w:rPr>
                <w:rFonts w:cs="Arial"/>
                <w:color w:val="000000"/>
                <w:sz w:val="20"/>
                <w:lang w:eastAsia="en-GB"/>
              </w:rPr>
              <w:t>Housing Disrepair</w:t>
            </w:r>
          </w:p>
        </w:tc>
        <w:tc>
          <w:tcPr>
            <w:tcW w:w="496" w:type="pct"/>
            <w:tcBorders>
              <w:top w:val="nil"/>
              <w:left w:val="nil"/>
              <w:bottom w:val="single" w:sz="4" w:space="0" w:color="auto"/>
              <w:right w:val="single" w:sz="4" w:space="0" w:color="auto"/>
            </w:tcBorders>
            <w:shd w:val="clear" w:color="auto" w:fill="auto"/>
            <w:noWrap/>
            <w:hideMark/>
          </w:tcPr>
          <w:p w14:paraId="34BAB189"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14</w:t>
            </w:r>
          </w:p>
        </w:tc>
        <w:tc>
          <w:tcPr>
            <w:tcW w:w="496" w:type="pct"/>
            <w:tcBorders>
              <w:top w:val="nil"/>
              <w:left w:val="nil"/>
              <w:bottom w:val="single" w:sz="4" w:space="0" w:color="auto"/>
              <w:right w:val="single" w:sz="4" w:space="0" w:color="auto"/>
            </w:tcBorders>
            <w:shd w:val="clear" w:color="auto" w:fill="auto"/>
            <w:noWrap/>
            <w:hideMark/>
          </w:tcPr>
          <w:p w14:paraId="34BAB18A"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18</w:t>
            </w:r>
          </w:p>
        </w:tc>
        <w:tc>
          <w:tcPr>
            <w:tcW w:w="496" w:type="pct"/>
            <w:tcBorders>
              <w:top w:val="nil"/>
              <w:left w:val="nil"/>
              <w:bottom w:val="single" w:sz="4" w:space="0" w:color="auto"/>
              <w:right w:val="single" w:sz="4" w:space="0" w:color="auto"/>
            </w:tcBorders>
            <w:shd w:val="clear" w:color="auto" w:fill="auto"/>
            <w:noWrap/>
            <w:hideMark/>
          </w:tcPr>
          <w:p w14:paraId="34BAB18B"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25</w:t>
            </w:r>
          </w:p>
        </w:tc>
        <w:tc>
          <w:tcPr>
            <w:tcW w:w="496" w:type="pct"/>
            <w:tcBorders>
              <w:top w:val="nil"/>
              <w:left w:val="nil"/>
              <w:bottom w:val="single" w:sz="4" w:space="0" w:color="auto"/>
              <w:right w:val="single" w:sz="4" w:space="0" w:color="auto"/>
            </w:tcBorders>
            <w:shd w:val="clear" w:color="auto" w:fill="auto"/>
            <w:noWrap/>
            <w:hideMark/>
          </w:tcPr>
          <w:p w14:paraId="34BAB18C"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49</w:t>
            </w:r>
          </w:p>
        </w:tc>
        <w:tc>
          <w:tcPr>
            <w:tcW w:w="496" w:type="pct"/>
            <w:tcBorders>
              <w:top w:val="nil"/>
              <w:left w:val="nil"/>
              <w:bottom w:val="single" w:sz="4" w:space="0" w:color="auto"/>
              <w:right w:val="single" w:sz="4" w:space="0" w:color="auto"/>
            </w:tcBorders>
            <w:shd w:val="clear" w:color="auto" w:fill="auto"/>
            <w:noWrap/>
            <w:hideMark/>
          </w:tcPr>
          <w:p w14:paraId="34BAB18D"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9</w:t>
            </w:r>
          </w:p>
        </w:tc>
        <w:tc>
          <w:tcPr>
            <w:tcW w:w="496" w:type="pct"/>
            <w:tcBorders>
              <w:top w:val="nil"/>
              <w:left w:val="nil"/>
              <w:bottom w:val="single" w:sz="4" w:space="0" w:color="auto"/>
              <w:right w:val="single" w:sz="4" w:space="0" w:color="auto"/>
            </w:tcBorders>
            <w:shd w:val="clear" w:color="auto" w:fill="auto"/>
            <w:noWrap/>
            <w:hideMark/>
          </w:tcPr>
          <w:p w14:paraId="34BAB18E"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10</w:t>
            </w:r>
          </w:p>
        </w:tc>
        <w:tc>
          <w:tcPr>
            <w:tcW w:w="496" w:type="pct"/>
            <w:tcBorders>
              <w:top w:val="nil"/>
              <w:left w:val="nil"/>
              <w:bottom w:val="single" w:sz="4" w:space="0" w:color="auto"/>
              <w:right w:val="single" w:sz="4" w:space="0" w:color="auto"/>
            </w:tcBorders>
            <w:shd w:val="clear" w:color="000000" w:fill="E2EFDA"/>
            <w:noWrap/>
            <w:hideMark/>
          </w:tcPr>
          <w:p w14:paraId="34BAB18F"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99"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91" w14:textId="77777777" w:rsidR="00E66293" w:rsidRPr="000A12DE" w:rsidRDefault="00031C54" w:rsidP="00DA07EC">
            <w:pPr>
              <w:rPr>
                <w:rFonts w:cs="Arial"/>
                <w:color w:val="000000"/>
                <w:sz w:val="20"/>
                <w:lang w:eastAsia="en-GB"/>
              </w:rPr>
            </w:pPr>
            <w:r w:rsidRPr="000A12DE">
              <w:rPr>
                <w:rFonts w:cs="Arial"/>
                <w:color w:val="000000"/>
                <w:sz w:val="20"/>
                <w:lang w:eastAsia="en-GB"/>
              </w:rPr>
              <w:t>Housing Overcrowding</w:t>
            </w:r>
          </w:p>
        </w:tc>
        <w:tc>
          <w:tcPr>
            <w:tcW w:w="496" w:type="pct"/>
            <w:tcBorders>
              <w:top w:val="nil"/>
              <w:left w:val="nil"/>
              <w:bottom w:val="single" w:sz="4" w:space="0" w:color="auto"/>
              <w:right w:val="single" w:sz="4" w:space="0" w:color="auto"/>
            </w:tcBorders>
            <w:shd w:val="clear" w:color="auto" w:fill="auto"/>
            <w:noWrap/>
            <w:hideMark/>
          </w:tcPr>
          <w:p w14:paraId="34BAB192"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auto" w:fill="auto"/>
            <w:noWrap/>
            <w:hideMark/>
          </w:tcPr>
          <w:p w14:paraId="34BAB193"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w:t>
            </w:r>
          </w:p>
        </w:tc>
        <w:tc>
          <w:tcPr>
            <w:tcW w:w="496" w:type="pct"/>
            <w:tcBorders>
              <w:top w:val="nil"/>
              <w:left w:val="nil"/>
              <w:bottom w:val="single" w:sz="4" w:space="0" w:color="auto"/>
              <w:right w:val="single" w:sz="4" w:space="0" w:color="auto"/>
            </w:tcBorders>
            <w:shd w:val="clear" w:color="auto" w:fill="auto"/>
            <w:noWrap/>
            <w:hideMark/>
          </w:tcPr>
          <w:p w14:paraId="34BAB194"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4</w:t>
            </w:r>
          </w:p>
        </w:tc>
        <w:tc>
          <w:tcPr>
            <w:tcW w:w="496" w:type="pct"/>
            <w:tcBorders>
              <w:top w:val="nil"/>
              <w:left w:val="nil"/>
              <w:bottom w:val="single" w:sz="4" w:space="0" w:color="auto"/>
              <w:right w:val="single" w:sz="4" w:space="0" w:color="auto"/>
            </w:tcBorders>
            <w:shd w:val="clear" w:color="auto" w:fill="auto"/>
            <w:noWrap/>
            <w:hideMark/>
          </w:tcPr>
          <w:p w14:paraId="34BAB195"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13</w:t>
            </w:r>
          </w:p>
        </w:tc>
        <w:tc>
          <w:tcPr>
            <w:tcW w:w="496" w:type="pct"/>
            <w:tcBorders>
              <w:top w:val="nil"/>
              <w:left w:val="nil"/>
              <w:bottom w:val="single" w:sz="4" w:space="0" w:color="auto"/>
              <w:right w:val="single" w:sz="4" w:space="0" w:color="auto"/>
            </w:tcBorders>
            <w:shd w:val="clear" w:color="auto" w:fill="auto"/>
            <w:noWrap/>
            <w:hideMark/>
          </w:tcPr>
          <w:p w14:paraId="34BAB196"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w:t>
            </w:r>
          </w:p>
        </w:tc>
        <w:tc>
          <w:tcPr>
            <w:tcW w:w="496" w:type="pct"/>
            <w:tcBorders>
              <w:top w:val="nil"/>
              <w:left w:val="nil"/>
              <w:bottom w:val="single" w:sz="4" w:space="0" w:color="auto"/>
              <w:right w:val="single" w:sz="4" w:space="0" w:color="auto"/>
            </w:tcBorders>
            <w:shd w:val="clear" w:color="auto" w:fill="auto"/>
            <w:noWrap/>
            <w:hideMark/>
          </w:tcPr>
          <w:p w14:paraId="34BAB197"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w:t>
            </w:r>
          </w:p>
        </w:tc>
        <w:tc>
          <w:tcPr>
            <w:tcW w:w="496" w:type="pct"/>
            <w:tcBorders>
              <w:top w:val="nil"/>
              <w:left w:val="nil"/>
              <w:bottom w:val="single" w:sz="4" w:space="0" w:color="auto"/>
              <w:right w:val="single" w:sz="4" w:space="0" w:color="auto"/>
            </w:tcBorders>
            <w:shd w:val="clear" w:color="000000" w:fill="E2EFDA"/>
            <w:noWrap/>
            <w:hideMark/>
          </w:tcPr>
          <w:p w14:paraId="34BAB198"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A2"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9A" w14:textId="77777777" w:rsidR="00E66293" w:rsidRPr="000A12DE" w:rsidRDefault="00031C54" w:rsidP="00DA07EC">
            <w:pPr>
              <w:rPr>
                <w:rFonts w:cs="Arial"/>
                <w:color w:val="000000"/>
                <w:sz w:val="20"/>
                <w:lang w:eastAsia="en-GB"/>
              </w:rPr>
            </w:pPr>
            <w:r w:rsidRPr="000A12DE">
              <w:rPr>
                <w:rFonts w:cs="Arial"/>
                <w:color w:val="000000"/>
                <w:sz w:val="20"/>
                <w:lang w:eastAsia="en-GB"/>
              </w:rPr>
              <w:t>Intimidation or harassment</w:t>
            </w:r>
          </w:p>
        </w:tc>
        <w:tc>
          <w:tcPr>
            <w:tcW w:w="496" w:type="pct"/>
            <w:tcBorders>
              <w:top w:val="nil"/>
              <w:left w:val="nil"/>
              <w:bottom w:val="single" w:sz="4" w:space="0" w:color="auto"/>
              <w:right w:val="single" w:sz="4" w:space="0" w:color="auto"/>
            </w:tcBorders>
            <w:shd w:val="clear" w:color="auto" w:fill="auto"/>
            <w:noWrap/>
            <w:hideMark/>
          </w:tcPr>
          <w:p w14:paraId="34BAB19B"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w:t>
            </w:r>
          </w:p>
        </w:tc>
        <w:tc>
          <w:tcPr>
            <w:tcW w:w="496" w:type="pct"/>
            <w:tcBorders>
              <w:top w:val="nil"/>
              <w:left w:val="nil"/>
              <w:bottom w:val="single" w:sz="4" w:space="0" w:color="auto"/>
              <w:right w:val="single" w:sz="4" w:space="0" w:color="auto"/>
            </w:tcBorders>
            <w:shd w:val="clear" w:color="auto" w:fill="auto"/>
            <w:noWrap/>
            <w:hideMark/>
          </w:tcPr>
          <w:p w14:paraId="34BAB19C" w14:textId="77777777" w:rsidR="00E66293" w:rsidRPr="000A12DE" w:rsidRDefault="00031C54" w:rsidP="00DA07EC">
            <w:pPr>
              <w:rPr>
                <w:rFonts w:cs="Arial"/>
                <w:color w:val="000000"/>
                <w:sz w:val="20"/>
                <w:lang w:eastAsia="en-GB"/>
              </w:rPr>
            </w:pPr>
            <w:r w:rsidRPr="000A12DE">
              <w:rPr>
                <w:rFonts w:cs="Arial"/>
                <w:color w:val="000000"/>
                <w:sz w:val="20"/>
                <w:lang w:eastAsia="en-GB"/>
              </w:rPr>
              <w:t> </w:t>
            </w:r>
          </w:p>
        </w:tc>
        <w:tc>
          <w:tcPr>
            <w:tcW w:w="496" w:type="pct"/>
            <w:tcBorders>
              <w:top w:val="nil"/>
              <w:left w:val="nil"/>
              <w:bottom w:val="single" w:sz="4" w:space="0" w:color="auto"/>
              <w:right w:val="single" w:sz="4" w:space="0" w:color="auto"/>
            </w:tcBorders>
            <w:shd w:val="clear" w:color="auto" w:fill="auto"/>
            <w:noWrap/>
            <w:hideMark/>
          </w:tcPr>
          <w:p w14:paraId="34BAB19D"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w:t>
            </w:r>
          </w:p>
        </w:tc>
        <w:tc>
          <w:tcPr>
            <w:tcW w:w="496" w:type="pct"/>
            <w:tcBorders>
              <w:top w:val="nil"/>
              <w:left w:val="nil"/>
              <w:bottom w:val="single" w:sz="4" w:space="0" w:color="auto"/>
              <w:right w:val="single" w:sz="4" w:space="0" w:color="auto"/>
            </w:tcBorders>
            <w:shd w:val="clear" w:color="auto" w:fill="auto"/>
            <w:noWrap/>
            <w:hideMark/>
          </w:tcPr>
          <w:p w14:paraId="34BAB19E"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auto" w:fill="auto"/>
            <w:noWrap/>
            <w:hideMark/>
          </w:tcPr>
          <w:p w14:paraId="34BAB19F"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w:t>
            </w:r>
          </w:p>
        </w:tc>
        <w:tc>
          <w:tcPr>
            <w:tcW w:w="496" w:type="pct"/>
            <w:tcBorders>
              <w:top w:val="nil"/>
              <w:left w:val="nil"/>
              <w:bottom w:val="single" w:sz="4" w:space="0" w:color="auto"/>
              <w:right w:val="single" w:sz="4" w:space="0" w:color="auto"/>
            </w:tcBorders>
            <w:shd w:val="clear" w:color="auto" w:fill="auto"/>
            <w:noWrap/>
            <w:hideMark/>
          </w:tcPr>
          <w:p w14:paraId="34BAB1A0"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w:t>
            </w:r>
          </w:p>
        </w:tc>
        <w:tc>
          <w:tcPr>
            <w:tcW w:w="496" w:type="pct"/>
            <w:tcBorders>
              <w:top w:val="nil"/>
              <w:left w:val="nil"/>
              <w:bottom w:val="single" w:sz="4" w:space="0" w:color="auto"/>
              <w:right w:val="single" w:sz="4" w:space="0" w:color="auto"/>
            </w:tcBorders>
            <w:shd w:val="clear" w:color="000000" w:fill="FFF2CC"/>
            <w:noWrap/>
            <w:hideMark/>
          </w:tcPr>
          <w:p w14:paraId="34BAB1A1"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AB"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A3" w14:textId="77777777" w:rsidR="00E66293" w:rsidRPr="000A12DE" w:rsidRDefault="00031C54" w:rsidP="00DA07EC">
            <w:pPr>
              <w:rPr>
                <w:rFonts w:cs="Arial"/>
                <w:color w:val="000000"/>
                <w:sz w:val="20"/>
                <w:lang w:eastAsia="en-GB"/>
              </w:rPr>
            </w:pPr>
            <w:r w:rsidRPr="000A12DE">
              <w:rPr>
                <w:rFonts w:cs="Arial"/>
                <w:color w:val="000000"/>
                <w:sz w:val="20"/>
                <w:lang w:eastAsia="en-GB"/>
              </w:rPr>
              <w:t>Noise</w:t>
            </w:r>
          </w:p>
        </w:tc>
        <w:tc>
          <w:tcPr>
            <w:tcW w:w="496" w:type="pct"/>
            <w:tcBorders>
              <w:top w:val="nil"/>
              <w:left w:val="nil"/>
              <w:bottom w:val="single" w:sz="4" w:space="0" w:color="auto"/>
              <w:right w:val="single" w:sz="4" w:space="0" w:color="auto"/>
            </w:tcBorders>
            <w:shd w:val="clear" w:color="auto" w:fill="auto"/>
            <w:noWrap/>
            <w:hideMark/>
          </w:tcPr>
          <w:p w14:paraId="34BAB1A4"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39</w:t>
            </w:r>
          </w:p>
        </w:tc>
        <w:tc>
          <w:tcPr>
            <w:tcW w:w="496" w:type="pct"/>
            <w:tcBorders>
              <w:top w:val="nil"/>
              <w:left w:val="nil"/>
              <w:bottom w:val="single" w:sz="4" w:space="0" w:color="auto"/>
              <w:right w:val="single" w:sz="4" w:space="0" w:color="auto"/>
            </w:tcBorders>
            <w:shd w:val="clear" w:color="auto" w:fill="auto"/>
            <w:noWrap/>
            <w:hideMark/>
          </w:tcPr>
          <w:p w14:paraId="34BAB1A5"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57</w:t>
            </w:r>
          </w:p>
        </w:tc>
        <w:tc>
          <w:tcPr>
            <w:tcW w:w="496" w:type="pct"/>
            <w:tcBorders>
              <w:top w:val="nil"/>
              <w:left w:val="nil"/>
              <w:bottom w:val="single" w:sz="4" w:space="0" w:color="auto"/>
              <w:right w:val="single" w:sz="4" w:space="0" w:color="auto"/>
            </w:tcBorders>
            <w:shd w:val="clear" w:color="auto" w:fill="auto"/>
            <w:noWrap/>
            <w:hideMark/>
          </w:tcPr>
          <w:p w14:paraId="34BAB1A6"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58</w:t>
            </w:r>
          </w:p>
        </w:tc>
        <w:tc>
          <w:tcPr>
            <w:tcW w:w="496" w:type="pct"/>
            <w:tcBorders>
              <w:top w:val="nil"/>
              <w:left w:val="nil"/>
              <w:bottom w:val="single" w:sz="4" w:space="0" w:color="auto"/>
              <w:right w:val="single" w:sz="4" w:space="0" w:color="auto"/>
            </w:tcBorders>
            <w:shd w:val="clear" w:color="auto" w:fill="auto"/>
            <w:noWrap/>
            <w:hideMark/>
          </w:tcPr>
          <w:p w14:paraId="34BAB1A7"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101</w:t>
            </w:r>
          </w:p>
        </w:tc>
        <w:tc>
          <w:tcPr>
            <w:tcW w:w="496" w:type="pct"/>
            <w:tcBorders>
              <w:top w:val="nil"/>
              <w:left w:val="nil"/>
              <w:bottom w:val="single" w:sz="4" w:space="0" w:color="auto"/>
              <w:right w:val="single" w:sz="4" w:space="0" w:color="auto"/>
            </w:tcBorders>
            <w:shd w:val="clear" w:color="auto" w:fill="auto"/>
            <w:noWrap/>
            <w:hideMark/>
          </w:tcPr>
          <w:p w14:paraId="34BAB1A8"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29</w:t>
            </w:r>
          </w:p>
        </w:tc>
        <w:tc>
          <w:tcPr>
            <w:tcW w:w="496" w:type="pct"/>
            <w:tcBorders>
              <w:top w:val="nil"/>
              <w:left w:val="nil"/>
              <w:bottom w:val="single" w:sz="4" w:space="0" w:color="auto"/>
              <w:right w:val="single" w:sz="4" w:space="0" w:color="auto"/>
            </w:tcBorders>
            <w:shd w:val="clear" w:color="auto" w:fill="auto"/>
            <w:noWrap/>
            <w:hideMark/>
          </w:tcPr>
          <w:p w14:paraId="34BAB1A9"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31</w:t>
            </w:r>
          </w:p>
        </w:tc>
        <w:tc>
          <w:tcPr>
            <w:tcW w:w="496" w:type="pct"/>
            <w:tcBorders>
              <w:top w:val="nil"/>
              <w:left w:val="nil"/>
              <w:bottom w:val="single" w:sz="4" w:space="0" w:color="auto"/>
              <w:right w:val="single" w:sz="4" w:space="0" w:color="auto"/>
            </w:tcBorders>
            <w:shd w:val="clear" w:color="000000" w:fill="E2EFDA"/>
            <w:noWrap/>
            <w:hideMark/>
          </w:tcPr>
          <w:p w14:paraId="34BAB1AA"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B4"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AC" w14:textId="77777777" w:rsidR="00E66293" w:rsidRPr="000A12DE" w:rsidRDefault="00031C54" w:rsidP="00DA07EC">
            <w:pPr>
              <w:rPr>
                <w:rFonts w:cs="Arial"/>
                <w:color w:val="000000"/>
                <w:sz w:val="20"/>
                <w:lang w:eastAsia="en-GB"/>
              </w:rPr>
            </w:pPr>
            <w:r w:rsidRPr="000A12DE">
              <w:rPr>
                <w:rFonts w:cs="Arial"/>
                <w:color w:val="000000"/>
                <w:sz w:val="20"/>
                <w:lang w:eastAsia="en-GB"/>
              </w:rPr>
              <w:t>Nuisance behaviour</w:t>
            </w:r>
          </w:p>
        </w:tc>
        <w:tc>
          <w:tcPr>
            <w:tcW w:w="496" w:type="pct"/>
            <w:tcBorders>
              <w:top w:val="nil"/>
              <w:left w:val="nil"/>
              <w:bottom w:val="single" w:sz="4" w:space="0" w:color="auto"/>
              <w:right w:val="single" w:sz="4" w:space="0" w:color="auto"/>
            </w:tcBorders>
            <w:shd w:val="clear" w:color="auto" w:fill="auto"/>
            <w:noWrap/>
            <w:hideMark/>
          </w:tcPr>
          <w:p w14:paraId="34BAB1AD"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auto" w:fill="auto"/>
            <w:noWrap/>
            <w:hideMark/>
          </w:tcPr>
          <w:p w14:paraId="34BAB1AE"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7</w:t>
            </w:r>
          </w:p>
        </w:tc>
        <w:tc>
          <w:tcPr>
            <w:tcW w:w="496" w:type="pct"/>
            <w:tcBorders>
              <w:top w:val="nil"/>
              <w:left w:val="nil"/>
              <w:bottom w:val="single" w:sz="4" w:space="0" w:color="auto"/>
              <w:right w:val="single" w:sz="4" w:space="0" w:color="auto"/>
            </w:tcBorders>
            <w:shd w:val="clear" w:color="auto" w:fill="auto"/>
            <w:noWrap/>
            <w:hideMark/>
          </w:tcPr>
          <w:p w14:paraId="34BAB1AF"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10</w:t>
            </w:r>
          </w:p>
        </w:tc>
        <w:tc>
          <w:tcPr>
            <w:tcW w:w="496" w:type="pct"/>
            <w:tcBorders>
              <w:top w:val="nil"/>
              <w:left w:val="nil"/>
              <w:bottom w:val="single" w:sz="4" w:space="0" w:color="auto"/>
              <w:right w:val="single" w:sz="4" w:space="0" w:color="auto"/>
            </w:tcBorders>
            <w:shd w:val="clear" w:color="auto" w:fill="auto"/>
            <w:noWrap/>
            <w:hideMark/>
          </w:tcPr>
          <w:p w14:paraId="34BAB1B0"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12</w:t>
            </w:r>
          </w:p>
        </w:tc>
        <w:tc>
          <w:tcPr>
            <w:tcW w:w="496" w:type="pct"/>
            <w:tcBorders>
              <w:top w:val="nil"/>
              <w:left w:val="nil"/>
              <w:bottom w:val="single" w:sz="4" w:space="0" w:color="auto"/>
              <w:right w:val="single" w:sz="4" w:space="0" w:color="auto"/>
            </w:tcBorders>
            <w:shd w:val="clear" w:color="auto" w:fill="auto"/>
            <w:noWrap/>
            <w:hideMark/>
          </w:tcPr>
          <w:p w14:paraId="34BAB1B1"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16</w:t>
            </w:r>
          </w:p>
        </w:tc>
        <w:tc>
          <w:tcPr>
            <w:tcW w:w="496" w:type="pct"/>
            <w:tcBorders>
              <w:top w:val="nil"/>
              <w:left w:val="nil"/>
              <w:bottom w:val="single" w:sz="4" w:space="0" w:color="auto"/>
              <w:right w:val="single" w:sz="4" w:space="0" w:color="auto"/>
            </w:tcBorders>
            <w:shd w:val="clear" w:color="auto" w:fill="auto"/>
            <w:noWrap/>
            <w:hideMark/>
          </w:tcPr>
          <w:p w14:paraId="34BAB1B2"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17</w:t>
            </w:r>
          </w:p>
        </w:tc>
        <w:tc>
          <w:tcPr>
            <w:tcW w:w="496" w:type="pct"/>
            <w:tcBorders>
              <w:top w:val="nil"/>
              <w:left w:val="nil"/>
              <w:bottom w:val="single" w:sz="4" w:space="0" w:color="auto"/>
              <w:right w:val="single" w:sz="4" w:space="0" w:color="auto"/>
            </w:tcBorders>
            <w:shd w:val="clear" w:color="000000" w:fill="FCE4D6"/>
            <w:noWrap/>
            <w:hideMark/>
          </w:tcPr>
          <w:p w14:paraId="34BAB1B3"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r w:rsidR="00B766D8" w14:paraId="34BAB1BD" w14:textId="77777777" w:rsidTr="00E66293">
        <w:trPr>
          <w:trHeight w:val="255"/>
        </w:trPr>
        <w:tc>
          <w:tcPr>
            <w:tcW w:w="1527" w:type="pct"/>
            <w:tcBorders>
              <w:top w:val="nil"/>
              <w:left w:val="single" w:sz="4" w:space="0" w:color="auto"/>
              <w:bottom w:val="single" w:sz="4" w:space="0" w:color="auto"/>
              <w:right w:val="single" w:sz="4" w:space="0" w:color="auto"/>
            </w:tcBorders>
            <w:shd w:val="clear" w:color="auto" w:fill="auto"/>
            <w:noWrap/>
            <w:hideMark/>
          </w:tcPr>
          <w:p w14:paraId="34BAB1B5" w14:textId="77777777" w:rsidR="00E66293" w:rsidRPr="000A12DE" w:rsidRDefault="00031C54" w:rsidP="00DA07EC">
            <w:pPr>
              <w:rPr>
                <w:rFonts w:cs="Arial"/>
                <w:color w:val="000000"/>
                <w:sz w:val="20"/>
                <w:lang w:eastAsia="en-GB"/>
              </w:rPr>
            </w:pPr>
            <w:r w:rsidRPr="000A12DE">
              <w:rPr>
                <w:rFonts w:cs="Arial"/>
                <w:color w:val="000000"/>
                <w:sz w:val="20"/>
                <w:lang w:eastAsia="en-GB"/>
              </w:rPr>
              <w:t>Vehicle noise or use (ASB)</w:t>
            </w:r>
          </w:p>
        </w:tc>
        <w:tc>
          <w:tcPr>
            <w:tcW w:w="496" w:type="pct"/>
            <w:tcBorders>
              <w:top w:val="nil"/>
              <w:left w:val="nil"/>
              <w:bottom w:val="single" w:sz="4" w:space="0" w:color="auto"/>
              <w:right w:val="single" w:sz="4" w:space="0" w:color="auto"/>
            </w:tcBorders>
            <w:shd w:val="clear" w:color="auto" w:fill="auto"/>
            <w:noWrap/>
            <w:hideMark/>
          </w:tcPr>
          <w:p w14:paraId="34BAB1B6"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1</w:t>
            </w:r>
          </w:p>
        </w:tc>
        <w:tc>
          <w:tcPr>
            <w:tcW w:w="496" w:type="pct"/>
            <w:tcBorders>
              <w:top w:val="nil"/>
              <w:left w:val="nil"/>
              <w:bottom w:val="single" w:sz="4" w:space="0" w:color="auto"/>
              <w:right w:val="single" w:sz="4" w:space="0" w:color="auto"/>
            </w:tcBorders>
            <w:shd w:val="clear" w:color="auto" w:fill="auto"/>
            <w:noWrap/>
            <w:hideMark/>
          </w:tcPr>
          <w:p w14:paraId="34BAB1B7"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2</w:t>
            </w:r>
          </w:p>
        </w:tc>
        <w:tc>
          <w:tcPr>
            <w:tcW w:w="496" w:type="pct"/>
            <w:tcBorders>
              <w:top w:val="nil"/>
              <w:left w:val="nil"/>
              <w:bottom w:val="single" w:sz="4" w:space="0" w:color="auto"/>
              <w:right w:val="single" w:sz="4" w:space="0" w:color="auto"/>
            </w:tcBorders>
            <w:shd w:val="clear" w:color="auto" w:fill="auto"/>
            <w:noWrap/>
            <w:hideMark/>
          </w:tcPr>
          <w:p w14:paraId="34BAB1B8"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4</w:t>
            </w:r>
          </w:p>
        </w:tc>
        <w:tc>
          <w:tcPr>
            <w:tcW w:w="496" w:type="pct"/>
            <w:tcBorders>
              <w:top w:val="nil"/>
              <w:left w:val="nil"/>
              <w:bottom w:val="single" w:sz="4" w:space="0" w:color="auto"/>
              <w:right w:val="single" w:sz="4" w:space="0" w:color="auto"/>
            </w:tcBorders>
            <w:shd w:val="clear" w:color="auto" w:fill="auto"/>
            <w:noWrap/>
            <w:hideMark/>
          </w:tcPr>
          <w:p w14:paraId="34BAB1B9"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auto" w:fill="auto"/>
            <w:noWrap/>
            <w:hideMark/>
          </w:tcPr>
          <w:p w14:paraId="34BAB1BA"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auto" w:fill="auto"/>
            <w:noWrap/>
            <w:hideMark/>
          </w:tcPr>
          <w:p w14:paraId="34BAB1BB" w14:textId="77777777" w:rsidR="00E66293" w:rsidRPr="000A12DE" w:rsidRDefault="00031C54" w:rsidP="00DA07EC">
            <w:pPr>
              <w:jc w:val="right"/>
              <w:rPr>
                <w:rFonts w:cs="Arial"/>
                <w:color w:val="000000"/>
                <w:sz w:val="20"/>
                <w:lang w:eastAsia="en-GB"/>
              </w:rPr>
            </w:pPr>
            <w:r w:rsidRPr="000A12DE">
              <w:rPr>
                <w:rFonts w:cs="Arial"/>
                <w:color w:val="000000"/>
                <w:sz w:val="20"/>
                <w:lang w:eastAsia="en-GB"/>
              </w:rPr>
              <w:t>3</w:t>
            </w:r>
          </w:p>
        </w:tc>
        <w:tc>
          <w:tcPr>
            <w:tcW w:w="496" w:type="pct"/>
            <w:tcBorders>
              <w:top w:val="nil"/>
              <w:left w:val="nil"/>
              <w:bottom w:val="single" w:sz="4" w:space="0" w:color="auto"/>
              <w:right w:val="single" w:sz="4" w:space="0" w:color="auto"/>
            </w:tcBorders>
            <w:shd w:val="clear" w:color="000000" w:fill="FFF2CC"/>
            <w:noWrap/>
            <w:hideMark/>
          </w:tcPr>
          <w:p w14:paraId="34BAB1BC" w14:textId="77777777" w:rsidR="00E66293" w:rsidRPr="000A12DE" w:rsidRDefault="00031C54" w:rsidP="00DA07EC">
            <w:pPr>
              <w:jc w:val="center"/>
              <w:rPr>
                <w:rFonts w:ascii="Wingdings" w:hAnsi="Wingdings" w:cs="Arial"/>
                <w:color w:val="000000"/>
                <w:sz w:val="20"/>
                <w:lang w:eastAsia="en-GB"/>
              </w:rPr>
            </w:pPr>
            <w:r w:rsidRPr="000A12DE">
              <w:rPr>
                <w:rFonts w:ascii="Wingdings" w:hAnsi="Wingdings" w:cs="Arial"/>
                <w:color w:val="000000"/>
                <w:sz w:val="20"/>
                <w:lang w:eastAsia="en-GB"/>
              </w:rPr>
              <w:t></w:t>
            </w:r>
          </w:p>
        </w:tc>
      </w:tr>
    </w:tbl>
    <w:p w14:paraId="34BAB1BE" w14:textId="77777777" w:rsidR="00E66293" w:rsidRDefault="00E66293" w:rsidP="00E66293"/>
    <w:p w14:paraId="34BAB1BF" w14:textId="197AB540" w:rsidR="00E66293" w:rsidRDefault="00031C54" w:rsidP="00E66293">
      <w:pPr>
        <w:ind w:left="720" w:hanging="720"/>
      </w:pPr>
      <w:r>
        <w:t>1.30</w:t>
      </w:r>
      <w:r>
        <w:tab/>
        <w:t xml:space="preserve">What this shows is that when the scheme came in numbers across all areas started to increase as awareness and a proactive approach was taken to the area, but then in the main start to fall as the scheme </w:t>
      </w:r>
      <w:r w:rsidR="0020409B">
        <w:t>embeds</w:t>
      </w:r>
      <w:r>
        <w:t xml:space="preserve"> in the area especially those linked to accommodation and people within (noise, fly tip waste, disrepair, dampness, overcrowding)</w:t>
      </w:r>
      <w:r w:rsidR="00482CC8">
        <w:t>.</w:t>
      </w:r>
    </w:p>
    <w:p w14:paraId="34BAB1C0" w14:textId="77777777" w:rsidR="00E66293" w:rsidRDefault="00E66293" w:rsidP="00E66293"/>
    <w:p w14:paraId="34BAB1C1" w14:textId="508B0165" w:rsidR="00E66293" w:rsidRDefault="00031C54" w:rsidP="00E66293">
      <w:pPr>
        <w:ind w:left="720" w:hanging="720"/>
      </w:pPr>
      <w:r>
        <w:t>1.31</w:t>
      </w:r>
      <w:r>
        <w:tab/>
        <w:t xml:space="preserve">The evidence does show that Wealdstone is getting better in the areas that Selective Licensing directly impacts.  But it also shows that, combined with the deprivation and ASB aspects, there is still more work to be done.  And it is likely that this is more around those premises that have remained under the radar and now need to be tackled directly.  Over the last 5 years, there have been 126 reports of </w:t>
      </w:r>
      <w:r>
        <w:lastRenderedPageBreak/>
        <w:t>premises</w:t>
      </w:r>
      <w:r w:rsidR="0020409B">
        <w:t xml:space="preserve"> that should be subject to selective licensing</w:t>
      </w:r>
      <w:r>
        <w:t xml:space="preserve"> in Wealdstone, </w:t>
      </w:r>
      <w:r w:rsidR="00C34B30">
        <w:t xml:space="preserve">with </w:t>
      </w:r>
      <w:r>
        <w:t>101 of these in the last 2 years as awareness increases including the register of licensed premises on the Council</w:t>
      </w:r>
      <w:r w:rsidR="0020409B">
        <w:t>’</w:t>
      </w:r>
      <w:r>
        <w:t>s website.</w:t>
      </w:r>
    </w:p>
    <w:p w14:paraId="34BAB1C2" w14:textId="77777777" w:rsidR="004C1F81" w:rsidRDefault="004C1F81" w:rsidP="00E66293">
      <w:pPr>
        <w:ind w:left="720" w:hanging="720"/>
      </w:pPr>
    </w:p>
    <w:p w14:paraId="34BAB1C3" w14:textId="77777777" w:rsidR="004C1F81" w:rsidRDefault="00031C54" w:rsidP="00E66293">
      <w:pPr>
        <w:ind w:left="720" w:hanging="720"/>
      </w:pPr>
      <w:r>
        <w:t>1.32</w:t>
      </w:r>
      <w:r>
        <w:tab/>
        <w:t>It should also be noted that fly tipping has reduced on council (public) land but does not take into account the issues still faced on private or orphaned land.  An example is the service road stretching behind Costa Coffee to Mir Supermarket, which continues to be plagued by waste from both the rented flats above the premises and others but unfortunately the land is orphaned (no owner).  It is these areas that Selective must do more now to address.</w:t>
      </w:r>
    </w:p>
    <w:p w14:paraId="34BAB1C4" w14:textId="77777777" w:rsidR="004C1F81" w:rsidRDefault="004C1F81" w:rsidP="00E66293">
      <w:pPr>
        <w:ind w:left="720" w:hanging="720"/>
      </w:pPr>
    </w:p>
    <w:p w14:paraId="34BAB1C5" w14:textId="77777777" w:rsidR="00E66293" w:rsidRDefault="00E66293" w:rsidP="00E66293">
      <w:pPr>
        <w:tabs>
          <w:tab w:val="left" w:pos="10"/>
        </w:tabs>
        <w:ind w:left="720" w:hanging="720"/>
        <w:rPr>
          <w:rFonts w:cs="Arial"/>
          <w:szCs w:val="24"/>
          <w:lang w:eastAsia="en-GB"/>
        </w:rPr>
      </w:pPr>
    </w:p>
    <w:p w14:paraId="34BAB1C6" w14:textId="77777777" w:rsidR="00E66293" w:rsidRPr="006231AA" w:rsidRDefault="00031C54" w:rsidP="00E66293">
      <w:pPr>
        <w:pStyle w:val="Heading2"/>
        <w:rPr>
          <w:color w:val="FF0000"/>
        </w:rPr>
      </w:pPr>
      <w:r>
        <w:t>2. Options considered</w:t>
      </w:r>
      <w:r>
        <w:rPr>
          <w:color w:val="FF0000"/>
        </w:rPr>
        <w:t xml:space="preserve"> </w:t>
      </w:r>
    </w:p>
    <w:p w14:paraId="34BAB1C7" w14:textId="77777777" w:rsidR="00E66293" w:rsidRDefault="00E66293" w:rsidP="00E66293"/>
    <w:p w14:paraId="34BAB1C8" w14:textId="77777777" w:rsidR="00E66293" w:rsidRDefault="00031C54" w:rsidP="00E66293">
      <w:pPr>
        <w:numPr>
          <w:ilvl w:val="2"/>
          <w:numId w:val="5"/>
        </w:numPr>
        <w:rPr>
          <w:rFonts w:cs="Arial"/>
          <w:color w:val="000000"/>
          <w:szCs w:val="24"/>
          <w:lang w:val="en" w:eastAsia="en-GB"/>
        </w:rPr>
      </w:pPr>
      <w:r>
        <w:rPr>
          <w:rFonts w:cs="Arial"/>
          <w:color w:val="000000"/>
          <w:szCs w:val="24"/>
          <w:lang w:val="en" w:eastAsia="en-GB"/>
        </w:rPr>
        <w:t>Section 81(4) of the Housing Act 2004 sets out the requirement that Councils must have considered other potential courses of action available to provide an effective method of achieving the objective or objectives that the designation would intend to achieve, and that making the designation will significantly assist them to achieve the objective(s).</w:t>
      </w:r>
    </w:p>
    <w:p w14:paraId="34BAB1C9" w14:textId="77777777" w:rsidR="00E66293" w:rsidRDefault="00E66293" w:rsidP="00E66293">
      <w:pPr>
        <w:rPr>
          <w:rFonts w:cs="Arial"/>
          <w:color w:val="000000"/>
          <w:szCs w:val="24"/>
          <w:lang w:val="en" w:eastAsia="en-GB"/>
        </w:rPr>
      </w:pPr>
    </w:p>
    <w:p w14:paraId="34BAB1CA" w14:textId="77777777" w:rsidR="00E66293" w:rsidRDefault="00031C54" w:rsidP="00E66293">
      <w:pPr>
        <w:numPr>
          <w:ilvl w:val="2"/>
          <w:numId w:val="5"/>
        </w:numPr>
        <w:rPr>
          <w:rFonts w:cs="Arial"/>
          <w:color w:val="000000"/>
          <w:szCs w:val="24"/>
          <w:lang w:val="en" w:eastAsia="en-GB"/>
        </w:rPr>
      </w:pPr>
      <w:r>
        <w:rPr>
          <w:rFonts w:cs="Arial"/>
          <w:color w:val="000000"/>
          <w:szCs w:val="24"/>
          <w:lang w:val="en" w:eastAsia="en-GB"/>
        </w:rPr>
        <w:t>All options were considered and for some, such as the additional and mandatory HMO licensing schemes, these are already in place.</w:t>
      </w:r>
    </w:p>
    <w:p w14:paraId="34BAB1CB" w14:textId="77777777" w:rsidR="00E66293" w:rsidRDefault="00E66293" w:rsidP="00E66293">
      <w:pPr>
        <w:pStyle w:val="ListParagraph"/>
        <w:rPr>
          <w:rFonts w:cs="Arial"/>
          <w:color w:val="000000"/>
          <w:szCs w:val="24"/>
          <w:lang w:val="en" w:eastAsia="en-GB"/>
        </w:rPr>
      </w:pPr>
    </w:p>
    <w:p w14:paraId="34BAB1CC" w14:textId="77777777" w:rsidR="00E66293" w:rsidRPr="006234C3" w:rsidRDefault="00031C54" w:rsidP="00E66293">
      <w:pPr>
        <w:rPr>
          <w:rFonts w:cs="Arial"/>
          <w:b/>
          <w:color w:val="000000"/>
          <w:szCs w:val="24"/>
          <w:lang w:val="en" w:eastAsia="en-GB"/>
        </w:rPr>
      </w:pPr>
      <w:r w:rsidRPr="006234C3">
        <w:rPr>
          <w:rFonts w:cs="Arial"/>
          <w:b/>
          <w:color w:val="000000"/>
          <w:szCs w:val="24"/>
          <w:lang w:val="en" w:eastAsia="en-GB"/>
        </w:rPr>
        <w:t>Do Nothing</w:t>
      </w:r>
    </w:p>
    <w:p w14:paraId="34BAB1CD" w14:textId="77777777" w:rsidR="00E66293" w:rsidRDefault="00E66293" w:rsidP="00E66293">
      <w:pPr>
        <w:pStyle w:val="ListParagraph"/>
        <w:rPr>
          <w:rFonts w:cs="Arial"/>
          <w:color w:val="000000"/>
          <w:szCs w:val="24"/>
          <w:lang w:val="en" w:eastAsia="en-GB"/>
        </w:rPr>
      </w:pPr>
    </w:p>
    <w:p w14:paraId="34BAB1CE" w14:textId="77777777" w:rsidR="00E66293" w:rsidRDefault="00031C54" w:rsidP="00E66293">
      <w:pPr>
        <w:numPr>
          <w:ilvl w:val="2"/>
          <w:numId w:val="5"/>
        </w:numPr>
        <w:rPr>
          <w:rFonts w:cs="Arial"/>
          <w:color w:val="000000"/>
          <w:szCs w:val="24"/>
          <w:lang w:val="en" w:eastAsia="en-GB"/>
        </w:rPr>
      </w:pPr>
      <w:r>
        <w:rPr>
          <w:rFonts w:cs="Arial"/>
          <w:color w:val="000000"/>
          <w:szCs w:val="24"/>
          <w:lang w:val="en" w:eastAsia="en-GB"/>
        </w:rPr>
        <w:t>The e</w:t>
      </w:r>
      <w:r w:rsidRPr="00E32ADC">
        <w:rPr>
          <w:rFonts w:cs="Arial"/>
          <w:color w:val="000000"/>
          <w:szCs w:val="24"/>
          <w:lang w:val="en" w:eastAsia="en-GB"/>
        </w:rPr>
        <w:t>vidence has shown that the area is subject to conditions that require intervention, for the purpose of helping the community.</w:t>
      </w:r>
    </w:p>
    <w:p w14:paraId="34BAB1CF" w14:textId="77777777" w:rsidR="00E66293" w:rsidRDefault="00E66293" w:rsidP="00E66293">
      <w:pPr>
        <w:ind w:left="720"/>
        <w:rPr>
          <w:rFonts w:cs="Arial"/>
          <w:color w:val="000000"/>
          <w:szCs w:val="24"/>
          <w:lang w:val="en" w:eastAsia="en-GB"/>
        </w:rPr>
      </w:pPr>
    </w:p>
    <w:p w14:paraId="34BAB1D0" w14:textId="093198A1" w:rsidR="00E66293" w:rsidRDefault="00031C54" w:rsidP="00E66293">
      <w:pPr>
        <w:numPr>
          <w:ilvl w:val="2"/>
          <w:numId w:val="5"/>
        </w:numPr>
        <w:rPr>
          <w:rFonts w:cs="Arial"/>
          <w:color w:val="000000"/>
          <w:szCs w:val="24"/>
          <w:lang w:val="en" w:eastAsia="en-GB"/>
        </w:rPr>
      </w:pPr>
      <w:r>
        <w:rPr>
          <w:rFonts w:cs="Arial"/>
          <w:color w:val="000000"/>
          <w:szCs w:val="24"/>
          <w:lang w:val="en" w:eastAsia="en-GB"/>
        </w:rPr>
        <w:t>The c</w:t>
      </w:r>
      <w:r w:rsidRPr="00E32ADC">
        <w:rPr>
          <w:rFonts w:cs="Arial"/>
          <w:color w:val="000000"/>
          <w:szCs w:val="24"/>
          <w:lang w:val="en" w:eastAsia="en-GB"/>
        </w:rPr>
        <w:t>onsultation</w:t>
      </w:r>
      <w:r>
        <w:rPr>
          <w:rFonts w:cs="Arial"/>
          <w:color w:val="000000"/>
          <w:szCs w:val="24"/>
          <w:lang w:val="en" w:eastAsia="en-GB"/>
        </w:rPr>
        <w:t xml:space="preserve"> which took place between </w:t>
      </w:r>
      <w:r>
        <w:rPr>
          <w:rFonts w:cs="Arial"/>
          <w:szCs w:val="24"/>
        </w:rPr>
        <w:t>5</w:t>
      </w:r>
      <w:r w:rsidRPr="005916BE">
        <w:rPr>
          <w:rFonts w:cs="Arial"/>
          <w:szCs w:val="24"/>
          <w:vertAlign w:val="superscript"/>
        </w:rPr>
        <w:t>th</w:t>
      </w:r>
      <w:r>
        <w:rPr>
          <w:rFonts w:cs="Arial"/>
          <w:szCs w:val="24"/>
        </w:rPr>
        <w:t xml:space="preserve"> June 2020</w:t>
      </w:r>
      <w:r w:rsidRPr="004B4AE8">
        <w:rPr>
          <w:rFonts w:cs="Arial"/>
          <w:szCs w:val="24"/>
        </w:rPr>
        <w:t xml:space="preserve"> to </w:t>
      </w:r>
      <w:r>
        <w:rPr>
          <w:rFonts w:cs="Arial"/>
          <w:szCs w:val="24"/>
        </w:rPr>
        <w:t>14</w:t>
      </w:r>
      <w:r w:rsidRPr="005916BE">
        <w:rPr>
          <w:rFonts w:cs="Arial"/>
          <w:szCs w:val="24"/>
          <w:vertAlign w:val="superscript"/>
        </w:rPr>
        <w:t>th</w:t>
      </w:r>
      <w:r>
        <w:rPr>
          <w:rFonts w:cs="Arial"/>
          <w:szCs w:val="24"/>
        </w:rPr>
        <w:t xml:space="preserve"> August 2020</w:t>
      </w:r>
      <w:r w:rsidRPr="00E32ADC">
        <w:rPr>
          <w:rFonts w:cs="Arial"/>
          <w:color w:val="000000"/>
          <w:szCs w:val="24"/>
          <w:lang w:val="en" w:eastAsia="en-GB"/>
        </w:rPr>
        <w:t xml:space="preserve"> show that</w:t>
      </w:r>
      <w:r>
        <w:rPr>
          <w:rFonts w:cs="Arial"/>
          <w:color w:val="000000"/>
          <w:szCs w:val="24"/>
          <w:lang w:val="en" w:eastAsia="en-GB"/>
        </w:rPr>
        <w:t xml:space="preserve"> the</w:t>
      </w:r>
      <w:r w:rsidRPr="00E32ADC">
        <w:rPr>
          <w:rFonts w:cs="Arial"/>
          <w:color w:val="000000"/>
          <w:szCs w:val="24"/>
          <w:lang w:val="en" w:eastAsia="en-GB"/>
        </w:rPr>
        <w:t xml:space="preserve"> issues have remained in place despite other forms of intervention taking place.</w:t>
      </w:r>
      <w:r>
        <w:rPr>
          <w:rFonts w:cs="Arial"/>
          <w:color w:val="000000"/>
          <w:szCs w:val="24"/>
          <w:lang w:val="en" w:eastAsia="en-GB"/>
        </w:rPr>
        <w:t xml:space="preserve">  This includes aspects of noise, which is mentioned in 1.15 above, as well as refuse storage especially in hot spot areas such as Park Way (more related to lack of storage rather than previously related to fly tipping)</w:t>
      </w:r>
      <w:r w:rsidR="00482CC8">
        <w:rPr>
          <w:rFonts w:cs="Arial"/>
          <w:color w:val="000000"/>
          <w:szCs w:val="24"/>
          <w:lang w:val="en" w:eastAsia="en-GB"/>
        </w:rPr>
        <w:t>.</w:t>
      </w:r>
    </w:p>
    <w:p w14:paraId="34BAB1D1" w14:textId="77777777" w:rsidR="00E66293" w:rsidRDefault="00E66293" w:rsidP="00E66293">
      <w:pPr>
        <w:pStyle w:val="ListParagraph"/>
        <w:rPr>
          <w:rFonts w:cs="Arial"/>
          <w:color w:val="000000"/>
          <w:szCs w:val="24"/>
          <w:lang w:val="en" w:eastAsia="en-GB"/>
        </w:rPr>
      </w:pPr>
    </w:p>
    <w:p w14:paraId="34BAB1D2" w14:textId="77777777" w:rsidR="00E66293" w:rsidRDefault="00031C54" w:rsidP="00E66293">
      <w:pPr>
        <w:numPr>
          <w:ilvl w:val="2"/>
          <w:numId w:val="5"/>
        </w:numPr>
        <w:rPr>
          <w:rFonts w:cs="Arial"/>
          <w:color w:val="000000"/>
          <w:szCs w:val="24"/>
          <w:lang w:val="en" w:eastAsia="en-GB"/>
        </w:rPr>
      </w:pPr>
      <w:r w:rsidRPr="00E32ADC">
        <w:rPr>
          <w:rFonts w:cs="Arial"/>
          <w:color w:val="000000"/>
          <w:szCs w:val="24"/>
          <w:lang w:val="en" w:eastAsia="en-GB"/>
        </w:rPr>
        <w:t>In line with Council commitments and requirements of putting the community first, the option of doing nothing is not an option.  If no action is taken the problems experienced in the ward are likely to continue.</w:t>
      </w:r>
    </w:p>
    <w:p w14:paraId="34BAB1D3" w14:textId="77777777" w:rsidR="00E66293" w:rsidRDefault="00E66293" w:rsidP="00FB3437">
      <w:pPr>
        <w:rPr>
          <w:rFonts w:cs="Arial"/>
          <w:color w:val="000000"/>
          <w:szCs w:val="24"/>
          <w:lang w:val="en" w:eastAsia="en-GB"/>
        </w:rPr>
      </w:pPr>
    </w:p>
    <w:p w14:paraId="34BAB1D4" w14:textId="77777777" w:rsidR="00FB3437" w:rsidRPr="005E22AD" w:rsidRDefault="00031C54" w:rsidP="00FB3437">
      <w:pPr>
        <w:rPr>
          <w:rFonts w:cs="Arial"/>
          <w:b/>
          <w:color w:val="000000"/>
          <w:szCs w:val="24"/>
          <w:lang w:val="en" w:eastAsia="en-GB"/>
        </w:rPr>
      </w:pPr>
      <w:r>
        <w:rPr>
          <w:rFonts w:cs="Arial"/>
          <w:b/>
          <w:color w:val="000000"/>
          <w:szCs w:val="24"/>
          <w:lang w:val="en" w:eastAsia="en-GB"/>
        </w:rPr>
        <w:t>HMO</w:t>
      </w:r>
      <w:r w:rsidRPr="005E22AD">
        <w:rPr>
          <w:rFonts w:cs="Arial"/>
          <w:b/>
          <w:color w:val="000000"/>
          <w:szCs w:val="24"/>
          <w:lang w:val="en" w:eastAsia="en-GB"/>
        </w:rPr>
        <w:t xml:space="preserve"> Licensing</w:t>
      </w:r>
    </w:p>
    <w:p w14:paraId="34BAB1D5" w14:textId="77777777" w:rsidR="00FB3437" w:rsidRDefault="00FB3437" w:rsidP="00FB3437">
      <w:pPr>
        <w:rPr>
          <w:rFonts w:cs="Arial"/>
          <w:color w:val="000000"/>
          <w:szCs w:val="24"/>
          <w:lang w:val="en" w:eastAsia="en-GB"/>
        </w:rPr>
      </w:pPr>
    </w:p>
    <w:p w14:paraId="34BAB1D6" w14:textId="77777777" w:rsidR="00FB3437" w:rsidRPr="0067687A" w:rsidRDefault="00E66293" w:rsidP="00E66293">
      <w:pPr>
        <w:ind w:left="720" w:hanging="720"/>
        <w:rPr>
          <w:rFonts w:cs="Arial"/>
          <w:color w:val="000000"/>
          <w:szCs w:val="24"/>
          <w:lang w:val="en" w:eastAsia="en-GB"/>
        </w:rPr>
      </w:pPr>
      <w:r>
        <w:rPr>
          <w:rFonts w:cs="Arial"/>
          <w:color w:val="000000"/>
          <w:szCs w:val="24"/>
          <w:lang w:val="en" w:eastAsia="en-GB"/>
        </w:rPr>
        <w:t xml:space="preserve">2.6 </w:t>
      </w:r>
      <w:r>
        <w:rPr>
          <w:rFonts w:cs="Arial"/>
          <w:color w:val="000000"/>
          <w:szCs w:val="24"/>
          <w:lang w:val="en" w:eastAsia="en-GB"/>
        </w:rPr>
        <w:tab/>
      </w:r>
      <w:r w:rsidR="00031C54">
        <w:rPr>
          <w:rFonts w:cs="Arial"/>
          <w:color w:val="000000"/>
          <w:szCs w:val="24"/>
          <w:lang w:val="en" w:eastAsia="en-GB"/>
        </w:rPr>
        <w:t>HMO</w:t>
      </w:r>
      <w:r w:rsidR="00031C54" w:rsidRPr="0067687A">
        <w:rPr>
          <w:rFonts w:cs="Arial"/>
          <w:color w:val="000000"/>
          <w:szCs w:val="24"/>
          <w:lang w:val="en" w:eastAsia="en-GB"/>
        </w:rPr>
        <w:t xml:space="preserve"> licensing refers to the licensing of Houses in Multiple Occupation (HMO) where the premises </w:t>
      </w:r>
      <w:r w:rsidR="00031C54">
        <w:rPr>
          <w:rFonts w:cs="Arial"/>
          <w:color w:val="000000"/>
          <w:szCs w:val="24"/>
          <w:lang w:val="en" w:eastAsia="en-GB"/>
        </w:rPr>
        <w:t xml:space="preserve">is occupied </w:t>
      </w:r>
      <w:r w:rsidR="00031C54" w:rsidRPr="0067687A">
        <w:rPr>
          <w:rFonts w:cs="Arial"/>
          <w:color w:val="000000"/>
          <w:szCs w:val="24"/>
          <w:lang w:val="en" w:eastAsia="en-GB"/>
        </w:rPr>
        <w:t xml:space="preserve">two or more households.  This licensing regime has been in place in Harrow since 2006, </w:t>
      </w:r>
      <w:r w:rsidR="00031C54">
        <w:rPr>
          <w:rFonts w:cs="Arial"/>
          <w:color w:val="000000"/>
          <w:szCs w:val="24"/>
          <w:lang w:val="en" w:eastAsia="en-GB"/>
        </w:rPr>
        <w:t>and certain discretionary aspects will continued to be renewed where there is evidence of need.</w:t>
      </w:r>
    </w:p>
    <w:p w14:paraId="34BAB1D7" w14:textId="77777777" w:rsidR="00FB3437" w:rsidRDefault="00FB3437" w:rsidP="00FB3437">
      <w:pPr>
        <w:rPr>
          <w:rFonts w:cs="Arial"/>
          <w:color w:val="000000"/>
          <w:szCs w:val="24"/>
          <w:lang w:val="en" w:eastAsia="en-GB"/>
        </w:rPr>
      </w:pPr>
    </w:p>
    <w:p w14:paraId="34BAB1D8" w14:textId="77777777" w:rsidR="00FB3437" w:rsidRDefault="00E66293" w:rsidP="00E66293">
      <w:pPr>
        <w:ind w:left="720" w:hanging="720"/>
        <w:rPr>
          <w:rFonts w:cs="Arial"/>
          <w:color w:val="000000"/>
          <w:szCs w:val="24"/>
          <w:lang w:val="en" w:eastAsia="en-GB"/>
        </w:rPr>
      </w:pPr>
      <w:r>
        <w:rPr>
          <w:rFonts w:cs="Arial"/>
          <w:color w:val="000000"/>
          <w:szCs w:val="24"/>
          <w:lang w:val="en" w:eastAsia="en-GB"/>
        </w:rPr>
        <w:t>2.7</w:t>
      </w:r>
      <w:r>
        <w:rPr>
          <w:rFonts w:cs="Arial"/>
          <w:color w:val="000000"/>
          <w:szCs w:val="24"/>
          <w:lang w:val="en" w:eastAsia="en-GB"/>
        </w:rPr>
        <w:tab/>
      </w:r>
      <w:r w:rsidR="00031C54">
        <w:rPr>
          <w:rFonts w:cs="Arial"/>
          <w:color w:val="000000"/>
          <w:szCs w:val="24"/>
          <w:lang w:val="en" w:eastAsia="en-GB"/>
        </w:rPr>
        <w:t>This approach is still being taken, but as can be seen this only accounts for about 1 in 3 rented premises in Wealdstone.</w:t>
      </w:r>
    </w:p>
    <w:p w14:paraId="34BAB1D9" w14:textId="77777777" w:rsidR="00FB3437" w:rsidRDefault="00FB3437" w:rsidP="00FB3437">
      <w:pPr>
        <w:rPr>
          <w:rFonts w:cs="Arial"/>
          <w:color w:val="000000"/>
          <w:szCs w:val="24"/>
          <w:lang w:val="en" w:eastAsia="en-GB"/>
        </w:rPr>
      </w:pPr>
    </w:p>
    <w:p w14:paraId="191136BB" w14:textId="77777777" w:rsidR="0039170C" w:rsidRDefault="0039170C">
      <w:pPr>
        <w:rPr>
          <w:rFonts w:cs="Arial"/>
          <w:b/>
          <w:color w:val="000000"/>
          <w:szCs w:val="24"/>
          <w:lang w:val="en" w:eastAsia="en-GB"/>
        </w:rPr>
      </w:pPr>
      <w:r>
        <w:rPr>
          <w:rFonts w:cs="Arial"/>
          <w:b/>
          <w:color w:val="000000"/>
          <w:szCs w:val="24"/>
          <w:lang w:val="en" w:eastAsia="en-GB"/>
        </w:rPr>
        <w:lastRenderedPageBreak/>
        <w:br w:type="page"/>
      </w:r>
    </w:p>
    <w:p w14:paraId="34BAB1DA" w14:textId="71BDCA92" w:rsidR="00FB3437" w:rsidRPr="00535987" w:rsidRDefault="00031C54" w:rsidP="00FB3437">
      <w:pPr>
        <w:rPr>
          <w:rFonts w:cs="Arial"/>
          <w:b/>
          <w:color w:val="000000"/>
          <w:szCs w:val="24"/>
          <w:lang w:val="en" w:eastAsia="en-GB"/>
        </w:rPr>
      </w:pPr>
      <w:r w:rsidRPr="00535987">
        <w:rPr>
          <w:rFonts w:cs="Arial"/>
          <w:b/>
          <w:color w:val="000000"/>
          <w:szCs w:val="24"/>
          <w:lang w:val="en" w:eastAsia="en-GB"/>
        </w:rPr>
        <w:t>Borough Wide Designation under Selective Licensing</w:t>
      </w:r>
    </w:p>
    <w:p w14:paraId="34BAB1DB" w14:textId="77777777" w:rsidR="00FB3437" w:rsidRDefault="00FB3437" w:rsidP="00FB3437">
      <w:pPr>
        <w:rPr>
          <w:rFonts w:cs="Arial"/>
          <w:color w:val="000000"/>
          <w:szCs w:val="24"/>
          <w:lang w:val="en" w:eastAsia="en-GB"/>
        </w:rPr>
      </w:pPr>
    </w:p>
    <w:p w14:paraId="34BAB1DC" w14:textId="77777777" w:rsidR="00FB3437" w:rsidRDefault="00E66293" w:rsidP="00E66293">
      <w:pPr>
        <w:ind w:left="720" w:hanging="720"/>
        <w:rPr>
          <w:rFonts w:cs="Arial"/>
          <w:color w:val="000000"/>
          <w:szCs w:val="24"/>
          <w:lang w:val="en" w:eastAsia="en-GB"/>
        </w:rPr>
      </w:pPr>
      <w:r>
        <w:rPr>
          <w:rFonts w:cs="Arial"/>
          <w:color w:val="000000"/>
          <w:szCs w:val="24"/>
          <w:lang w:val="en" w:eastAsia="en-GB"/>
        </w:rPr>
        <w:t>2.8</w:t>
      </w:r>
      <w:r>
        <w:rPr>
          <w:rFonts w:cs="Arial"/>
          <w:color w:val="000000"/>
          <w:szCs w:val="24"/>
          <w:lang w:val="en" w:eastAsia="en-GB"/>
        </w:rPr>
        <w:tab/>
      </w:r>
      <w:r w:rsidR="00031C54">
        <w:rPr>
          <w:rFonts w:cs="Arial"/>
          <w:color w:val="000000"/>
          <w:szCs w:val="24"/>
          <w:lang w:val="en" w:eastAsia="en-GB"/>
        </w:rPr>
        <w:t xml:space="preserve">Some councils have adopted Borough Wide schemes, such as seen in </w:t>
      </w:r>
      <w:proofErr w:type="spellStart"/>
      <w:r w:rsidR="00031C54">
        <w:rPr>
          <w:rFonts w:cs="Arial"/>
          <w:color w:val="000000"/>
          <w:szCs w:val="24"/>
          <w:lang w:val="en" w:eastAsia="en-GB"/>
        </w:rPr>
        <w:t>Newham</w:t>
      </w:r>
      <w:proofErr w:type="spellEnd"/>
      <w:r w:rsidR="00031C54">
        <w:rPr>
          <w:rFonts w:cs="Arial"/>
          <w:color w:val="000000"/>
          <w:szCs w:val="24"/>
          <w:lang w:val="en" w:eastAsia="en-GB"/>
        </w:rPr>
        <w:t>, but Harrow has been keen to ensure that such a scheme is used only where it is required for a targeted approach, and in line with legal requirements. Additionally, it is important that there is a clear evidence base to support any scheme, and for the areas proposed, which is established for Wealdstone but is currently not in place for the whole Borough.</w:t>
      </w:r>
    </w:p>
    <w:p w14:paraId="34BAB1E0" w14:textId="77777777" w:rsidR="00E66293" w:rsidRDefault="00E66293" w:rsidP="00FB3437">
      <w:pPr>
        <w:pStyle w:val="ListParagraph"/>
        <w:rPr>
          <w:rFonts w:cs="Arial"/>
          <w:color w:val="000000"/>
          <w:szCs w:val="24"/>
          <w:lang w:val="en" w:eastAsia="en-GB"/>
        </w:rPr>
      </w:pPr>
    </w:p>
    <w:p w14:paraId="34BAB1E1" w14:textId="77777777" w:rsidR="00FB3437" w:rsidRPr="009F5FD4" w:rsidRDefault="00031C54" w:rsidP="00FB3437">
      <w:pPr>
        <w:rPr>
          <w:rFonts w:cs="Arial"/>
          <w:b/>
          <w:color w:val="000000"/>
          <w:szCs w:val="24"/>
          <w:lang w:val="en" w:eastAsia="en-GB"/>
        </w:rPr>
      </w:pPr>
      <w:r w:rsidRPr="009F5FD4">
        <w:rPr>
          <w:rFonts w:cs="Arial"/>
          <w:b/>
          <w:color w:val="000000"/>
          <w:szCs w:val="24"/>
          <w:lang w:val="en" w:eastAsia="en-GB"/>
        </w:rPr>
        <w:t>Accredited Landlord Scheme</w:t>
      </w:r>
    </w:p>
    <w:p w14:paraId="34BAB1E2" w14:textId="77777777" w:rsidR="00FB3437" w:rsidRDefault="00FB3437" w:rsidP="00FB3437">
      <w:pPr>
        <w:pStyle w:val="ListParagraph"/>
        <w:rPr>
          <w:rFonts w:cs="Arial"/>
          <w:color w:val="000000"/>
          <w:szCs w:val="24"/>
          <w:lang w:val="en" w:eastAsia="en-GB"/>
        </w:rPr>
      </w:pPr>
    </w:p>
    <w:p w14:paraId="34BAB1E3" w14:textId="77777777" w:rsidR="00FB3437" w:rsidRDefault="00E66293" w:rsidP="00E66293">
      <w:pPr>
        <w:ind w:left="720" w:hanging="720"/>
        <w:rPr>
          <w:rFonts w:cs="Arial"/>
          <w:color w:val="000000"/>
          <w:szCs w:val="24"/>
          <w:lang w:val="en" w:eastAsia="en-GB"/>
        </w:rPr>
      </w:pPr>
      <w:r>
        <w:rPr>
          <w:rFonts w:cs="Arial"/>
          <w:color w:val="000000"/>
          <w:szCs w:val="24"/>
          <w:lang w:val="en" w:eastAsia="en-GB"/>
        </w:rPr>
        <w:t>2.9</w:t>
      </w:r>
      <w:r>
        <w:rPr>
          <w:rFonts w:cs="Arial"/>
          <w:color w:val="000000"/>
          <w:szCs w:val="24"/>
          <w:lang w:val="en" w:eastAsia="en-GB"/>
        </w:rPr>
        <w:tab/>
      </w:r>
      <w:r w:rsidR="00031C54" w:rsidRPr="006D761C">
        <w:rPr>
          <w:rFonts w:cs="Arial"/>
          <w:color w:val="000000"/>
          <w:szCs w:val="24"/>
          <w:lang w:val="en" w:eastAsia="en-GB"/>
        </w:rPr>
        <w:t xml:space="preserve">There are accredited landlord schemes in operation that put in place a consistent standard and lead to improved standards of accommodation, </w:t>
      </w:r>
      <w:r w:rsidR="00031C54">
        <w:rPr>
          <w:rFonts w:cs="Arial"/>
          <w:color w:val="000000"/>
          <w:szCs w:val="24"/>
          <w:lang w:val="en" w:eastAsia="en-GB"/>
        </w:rPr>
        <w:t xml:space="preserve">but </w:t>
      </w:r>
      <w:r w:rsidR="00031C54" w:rsidRPr="006D761C">
        <w:rPr>
          <w:rFonts w:cs="Arial"/>
          <w:color w:val="000000"/>
          <w:szCs w:val="24"/>
          <w:lang w:val="en" w:eastAsia="en-GB"/>
        </w:rPr>
        <w:t xml:space="preserve">not necessarily matters of ASB.  While such schemes are valuable, it is imperative that all landlords in an area engage in improving it.  </w:t>
      </w:r>
      <w:r w:rsidR="00031C54">
        <w:rPr>
          <w:rFonts w:cs="Arial"/>
          <w:color w:val="000000"/>
          <w:szCs w:val="24"/>
          <w:lang w:val="en" w:eastAsia="en-GB"/>
        </w:rPr>
        <w:t xml:space="preserve">Such a scheme is voluntary and so take up is variable.  </w:t>
      </w:r>
      <w:r w:rsidR="00031C54" w:rsidRPr="006D761C">
        <w:rPr>
          <w:rFonts w:cs="Arial"/>
          <w:color w:val="000000"/>
          <w:szCs w:val="24"/>
          <w:lang w:val="en" w:eastAsia="en-GB"/>
        </w:rPr>
        <w:t xml:space="preserve">Therefore </w:t>
      </w:r>
      <w:r w:rsidR="00031C54">
        <w:rPr>
          <w:rFonts w:cs="Arial"/>
          <w:color w:val="000000"/>
          <w:szCs w:val="24"/>
          <w:lang w:val="en" w:eastAsia="en-GB"/>
        </w:rPr>
        <w:t xml:space="preserve">it is felt that </w:t>
      </w:r>
      <w:r w:rsidR="00031C54" w:rsidRPr="006D761C">
        <w:rPr>
          <w:rFonts w:cs="Arial"/>
          <w:color w:val="000000"/>
          <w:szCs w:val="24"/>
          <w:lang w:val="en" w:eastAsia="en-GB"/>
        </w:rPr>
        <w:t>a more intensive intervention is required, making it mandatory on all landlords to comply</w:t>
      </w:r>
      <w:r w:rsidR="00031C54">
        <w:rPr>
          <w:rFonts w:cs="Arial"/>
          <w:color w:val="000000"/>
          <w:szCs w:val="24"/>
          <w:lang w:val="en" w:eastAsia="en-GB"/>
        </w:rPr>
        <w:t xml:space="preserve"> with conditions in order to address the problems being experienced in the area</w:t>
      </w:r>
      <w:r w:rsidR="00031C54" w:rsidRPr="006D761C">
        <w:rPr>
          <w:rFonts w:cs="Arial"/>
          <w:color w:val="000000"/>
          <w:szCs w:val="24"/>
          <w:lang w:val="en" w:eastAsia="en-GB"/>
        </w:rPr>
        <w:t>.</w:t>
      </w:r>
      <w:r w:rsidR="00031C54">
        <w:rPr>
          <w:rFonts w:cs="Arial"/>
          <w:color w:val="000000"/>
          <w:szCs w:val="24"/>
          <w:lang w:val="en" w:eastAsia="en-GB"/>
        </w:rPr>
        <w:t xml:space="preserve"> This option is already in place, but merely complements licensing and does not address the wider issues that selective licensing is expected to help with.</w:t>
      </w:r>
    </w:p>
    <w:p w14:paraId="34BAB1E4" w14:textId="77777777" w:rsidR="00FB3437" w:rsidRDefault="00FB3437" w:rsidP="00FB3437">
      <w:pPr>
        <w:pStyle w:val="ListParagraph"/>
        <w:rPr>
          <w:rFonts w:cs="Arial"/>
          <w:color w:val="000000"/>
          <w:szCs w:val="24"/>
          <w:lang w:val="en" w:eastAsia="en-GB"/>
        </w:rPr>
      </w:pPr>
    </w:p>
    <w:p w14:paraId="34BAB1E5" w14:textId="77777777" w:rsidR="00FB3437" w:rsidRPr="0067687A" w:rsidRDefault="00031C54" w:rsidP="00FB3437">
      <w:pPr>
        <w:rPr>
          <w:rFonts w:cs="Arial"/>
          <w:b/>
          <w:color w:val="000000"/>
          <w:szCs w:val="24"/>
          <w:lang w:val="en" w:eastAsia="en-GB"/>
        </w:rPr>
      </w:pPr>
      <w:r w:rsidRPr="0067687A">
        <w:rPr>
          <w:rFonts w:cs="Arial"/>
          <w:b/>
          <w:color w:val="000000"/>
          <w:szCs w:val="24"/>
          <w:lang w:val="en" w:eastAsia="en-GB"/>
        </w:rPr>
        <w:t>Action against Individual Cases</w:t>
      </w:r>
    </w:p>
    <w:p w14:paraId="34BAB1E6" w14:textId="77777777" w:rsidR="00FB3437" w:rsidRDefault="00FB3437" w:rsidP="00FB3437">
      <w:pPr>
        <w:pStyle w:val="ListParagraph"/>
        <w:rPr>
          <w:rFonts w:cs="Arial"/>
          <w:color w:val="000000"/>
          <w:szCs w:val="24"/>
          <w:lang w:val="en" w:eastAsia="en-GB"/>
        </w:rPr>
      </w:pPr>
    </w:p>
    <w:p w14:paraId="34BAB1E7" w14:textId="4EB8FE67" w:rsidR="00FB3437" w:rsidRDefault="00E66293" w:rsidP="00E66293">
      <w:pPr>
        <w:ind w:left="720" w:hanging="720"/>
        <w:rPr>
          <w:rFonts w:cs="Arial"/>
          <w:color w:val="000000"/>
          <w:szCs w:val="24"/>
          <w:lang w:val="en" w:eastAsia="en-GB"/>
        </w:rPr>
      </w:pPr>
      <w:r>
        <w:rPr>
          <w:rFonts w:cs="Arial"/>
          <w:color w:val="000000"/>
          <w:szCs w:val="24"/>
          <w:lang w:val="en" w:eastAsia="en-GB"/>
        </w:rPr>
        <w:t>2.10</w:t>
      </w:r>
      <w:r>
        <w:rPr>
          <w:rFonts w:cs="Arial"/>
          <w:color w:val="000000"/>
          <w:szCs w:val="24"/>
          <w:lang w:val="en" w:eastAsia="en-GB"/>
        </w:rPr>
        <w:tab/>
      </w:r>
      <w:r w:rsidR="00031C54">
        <w:rPr>
          <w:rFonts w:cs="Arial"/>
          <w:color w:val="000000"/>
          <w:szCs w:val="24"/>
          <w:lang w:val="en" w:eastAsia="en-GB"/>
        </w:rPr>
        <w:t xml:space="preserve">Legislation allows enforcement action to be taken against cases of nuisance and fly tipping (Environmental Protection Act 1990), Anti-Social </w:t>
      </w:r>
      <w:proofErr w:type="spellStart"/>
      <w:r w:rsidR="00031C54">
        <w:rPr>
          <w:rFonts w:cs="Arial"/>
          <w:color w:val="000000"/>
          <w:szCs w:val="24"/>
          <w:lang w:val="en" w:eastAsia="en-GB"/>
        </w:rPr>
        <w:t>Behaviour</w:t>
      </w:r>
      <w:proofErr w:type="spellEnd"/>
      <w:r w:rsidR="00031C54">
        <w:rPr>
          <w:rFonts w:cs="Arial"/>
          <w:color w:val="000000"/>
          <w:szCs w:val="24"/>
          <w:lang w:val="en" w:eastAsia="en-GB"/>
        </w:rPr>
        <w:t xml:space="preserve"> (ASB, Crime and Policing Act 2014) and other related matters</w:t>
      </w:r>
      <w:r w:rsidR="00482CC8">
        <w:rPr>
          <w:rFonts w:cs="Arial"/>
          <w:color w:val="000000"/>
          <w:szCs w:val="24"/>
          <w:lang w:val="en" w:eastAsia="en-GB"/>
        </w:rPr>
        <w:t>.</w:t>
      </w:r>
    </w:p>
    <w:p w14:paraId="34BAB1E8" w14:textId="77777777" w:rsidR="00FB3437" w:rsidRDefault="00FB3437" w:rsidP="00FB3437">
      <w:pPr>
        <w:rPr>
          <w:rFonts w:cs="Arial"/>
          <w:color w:val="000000"/>
          <w:szCs w:val="24"/>
          <w:lang w:val="en" w:eastAsia="en-GB"/>
        </w:rPr>
      </w:pPr>
    </w:p>
    <w:p w14:paraId="34BAB1E9" w14:textId="2A048BD0" w:rsidR="00FB3437" w:rsidRDefault="00E66293" w:rsidP="00E66293">
      <w:pPr>
        <w:ind w:left="720" w:hanging="720"/>
        <w:rPr>
          <w:rFonts w:cs="Arial"/>
          <w:color w:val="000000"/>
          <w:szCs w:val="24"/>
          <w:lang w:val="en" w:eastAsia="en-GB"/>
        </w:rPr>
      </w:pPr>
      <w:r>
        <w:rPr>
          <w:rFonts w:cs="Arial"/>
          <w:color w:val="000000"/>
          <w:szCs w:val="24"/>
          <w:lang w:val="en" w:eastAsia="en-GB"/>
        </w:rPr>
        <w:t>2.11</w:t>
      </w:r>
      <w:r>
        <w:rPr>
          <w:rFonts w:cs="Arial"/>
          <w:color w:val="000000"/>
          <w:szCs w:val="24"/>
          <w:lang w:val="en" w:eastAsia="en-GB"/>
        </w:rPr>
        <w:tab/>
      </w:r>
      <w:r w:rsidR="00031C54">
        <w:rPr>
          <w:rFonts w:cs="Arial"/>
          <w:color w:val="000000"/>
          <w:szCs w:val="24"/>
          <w:lang w:val="en" w:eastAsia="en-GB"/>
        </w:rPr>
        <w:t>The Council has introduced Fixed Penalty Notices for environmental issues, such as littering across the Borough</w:t>
      </w:r>
      <w:r w:rsidR="00482CC8">
        <w:rPr>
          <w:rFonts w:cs="Arial"/>
          <w:color w:val="000000"/>
          <w:szCs w:val="24"/>
          <w:lang w:val="en" w:eastAsia="en-GB"/>
        </w:rPr>
        <w:t>.</w:t>
      </w:r>
      <w:r w:rsidR="00031C54">
        <w:rPr>
          <w:rFonts w:cs="Arial"/>
          <w:color w:val="000000"/>
          <w:szCs w:val="24"/>
          <w:lang w:val="en" w:eastAsia="en-GB"/>
        </w:rPr>
        <w:t xml:space="preserve"> </w:t>
      </w:r>
    </w:p>
    <w:p w14:paraId="34BAB1EA" w14:textId="77777777" w:rsidR="00FB3437" w:rsidRDefault="00FB3437" w:rsidP="00FB3437">
      <w:pPr>
        <w:ind w:left="720" w:hanging="720"/>
        <w:rPr>
          <w:rFonts w:cs="Arial"/>
          <w:color w:val="000000"/>
          <w:szCs w:val="24"/>
          <w:lang w:val="en" w:eastAsia="en-GB"/>
        </w:rPr>
      </w:pPr>
    </w:p>
    <w:p w14:paraId="34BAB1EB" w14:textId="77777777" w:rsidR="00FB3437" w:rsidRDefault="00E66293" w:rsidP="00E66293">
      <w:pPr>
        <w:ind w:left="720" w:hanging="720"/>
        <w:rPr>
          <w:rFonts w:cs="Arial"/>
          <w:color w:val="000000"/>
          <w:szCs w:val="24"/>
          <w:lang w:val="en" w:eastAsia="en-GB"/>
        </w:rPr>
      </w:pPr>
      <w:r>
        <w:rPr>
          <w:rFonts w:cs="Arial"/>
          <w:color w:val="000000"/>
          <w:szCs w:val="24"/>
          <w:lang w:val="en" w:eastAsia="en-GB"/>
        </w:rPr>
        <w:t>2.12</w:t>
      </w:r>
      <w:r>
        <w:rPr>
          <w:rFonts w:cs="Arial"/>
          <w:color w:val="000000"/>
          <w:szCs w:val="24"/>
          <w:lang w:val="en" w:eastAsia="en-GB"/>
        </w:rPr>
        <w:tab/>
      </w:r>
      <w:r w:rsidR="00031C54">
        <w:rPr>
          <w:rFonts w:cs="Arial"/>
          <w:color w:val="000000"/>
          <w:szCs w:val="24"/>
          <w:lang w:val="en" w:eastAsia="en-GB"/>
        </w:rPr>
        <w:t xml:space="preserve">The Anti-Social </w:t>
      </w:r>
      <w:proofErr w:type="spellStart"/>
      <w:r w:rsidR="00031C54">
        <w:rPr>
          <w:rFonts w:cs="Arial"/>
          <w:color w:val="000000"/>
          <w:szCs w:val="24"/>
          <w:lang w:val="en" w:eastAsia="en-GB"/>
        </w:rPr>
        <w:t>Behaviour</w:t>
      </w:r>
      <w:proofErr w:type="spellEnd"/>
      <w:r w:rsidR="00031C54">
        <w:rPr>
          <w:rFonts w:cs="Arial"/>
          <w:color w:val="000000"/>
          <w:szCs w:val="24"/>
          <w:lang w:val="en" w:eastAsia="en-GB"/>
        </w:rPr>
        <w:t xml:space="preserve">, Crime and Policing Act 2014 also introduced additional powers to local housing authorities by way of absolute grounds for possession in housing cases where certain conditions are met, although this will only assist with council tenancies.  </w:t>
      </w:r>
    </w:p>
    <w:p w14:paraId="34BAB1EC" w14:textId="77777777" w:rsidR="00FB3437" w:rsidRDefault="00FB3437" w:rsidP="00FB3437">
      <w:pPr>
        <w:pStyle w:val="ListParagraph"/>
        <w:rPr>
          <w:rFonts w:cs="Arial"/>
          <w:color w:val="000000"/>
          <w:szCs w:val="24"/>
          <w:lang w:val="en" w:eastAsia="en-GB"/>
        </w:rPr>
      </w:pPr>
    </w:p>
    <w:p w14:paraId="34BAB1ED" w14:textId="72F24529" w:rsidR="00FB3437" w:rsidRDefault="00E66293" w:rsidP="00E66293">
      <w:pPr>
        <w:ind w:left="720" w:hanging="720"/>
        <w:rPr>
          <w:rFonts w:cs="Arial"/>
          <w:color w:val="000000"/>
          <w:szCs w:val="24"/>
          <w:lang w:val="en" w:eastAsia="en-GB"/>
        </w:rPr>
      </w:pPr>
      <w:r>
        <w:rPr>
          <w:rFonts w:cs="Arial"/>
          <w:color w:val="000000"/>
          <w:szCs w:val="24"/>
          <w:lang w:val="en" w:eastAsia="en-GB"/>
        </w:rPr>
        <w:t>2.13</w:t>
      </w:r>
      <w:r>
        <w:rPr>
          <w:rFonts w:cs="Arial"/>
          <w:color w:val="000000"/>
          <w:szCs w:val="24"/>
          <w:lang w:val="en" w:eastAsia="en-GB"/>
        </w:rPr>
        <w:tab/>
      </w:r>
      <w:r w:rsidR="00031C54">
        <w:rPr>
          <w:rFonts w:cs="Arial"/>
          <w:color w:val="000000"/>
          <w:szCs w:val="24"/>
          <w:lang w:val="en" w:eastAsia="en-GB"/>
        </w:rPr>
        <w:t xml:space="preserve">But these only address a problem at a time rather than addressing the bigger issues in an area and fundamentally </w:t>
      </w:r>
      <w:r w:rsidR="0020409B">
        <w:rPr>
          <w:rFonts w:cs="Arial"/>
          <w:color w:val="000000"/>
          <w:szCs w:val="24"/>
          <w:lang w:val="en" w:eastAsia="en-GB"/>
        </w:rPr>
        <w:t xml:space="preserve">changing </w:t>
      </w:r>
      <w:r w:rsidR="00031C54">
        <w:rPr>
          <w:rFonts w:cs="Arial"/>
          <w:color w:val="000000"/>
          <w:szCs w:val="24"/>
          <w:lang w:val="en" w:eastAsia="en-GB"/>
        </w:rPr>
        <w:t xml:space="preserve">culture and </w:t>
      </w:r>
      <w:proofErr w:type="spellStart"/>
      <w:r w:rsidR="00031C54">
        <w:rPr>
          <w:rFonts w:cs="Arial"/>
          <w:color w:val="000000"/>
          <w:szCs w:val="24"/>
          <w:lang w:val="en" w:eastAsia="en-GB"/>
        </w:rPr>
        <w:t>behaviours</w:t>
      </w:r>
      <w:proofErr w:type="spellEnd"/>
      <w:r w:rsidR="00031C54">
        <w:rPr>
          <w:rFonts w:cs="Arial"/>
          <w:color w:val="000000"/>
          <w:szCs w:val="24"/>
          <w:lang w:val="en" w:eastAsia="en-GB"/>
        </w:rPr>
        <w:t>.  Where individuals do warrant it, the Council will take action using all tools available.</w:t>
      </w:r>
    </w:p>
    <w:p w14:paraId="34BAB1EE" w14:textId="77777777" w:rsidR="00FB3437" w:rsidRDefault="00FB3437" w:rsidP="00FB3437">
      <w:pPr>
        <w:rPr>
          <w:rFonts w:cs="Arial"/>
          <w:color w:val="000000"/>
          <w:szCs w:val="24"/>
          <w:lang w:val="en" w:eastAsia="en-GB"/>
        </w:rPr>
      </w:pPr>
    </w:p>
    <w:p w14:paraId="34BAB1EF" w14:textId="77777777" w:rsidR="00FB3437" w:rsidRPr="00E07970" w:rsidRDefault="00031C54" w:rsidP="00FB3437">
      <w:pPr>
        <w:rPr>
          <w:rFonts w:cs="Arial"/>
          <w:b/>
          <w:color w:val="000000"/>
          <w:szCs w:val="24"/>
          <w:lang w:val="en" w:eastAsia="en-GB"/>
        </w:rPr>
      </w:pPr>
      <w:r w:rsidRPr="00E07970">
        <w:rPr>
          <w:rFonts w:cs="Arial"/>
          <w:b/>
          <w:color w:val="000000"/>
          <w:szCs w:val="24"/>
          <w:lang w:val="en" w:eastAsia="en-GB"/>
        </w:rPr>
        <w:t>Special Interim Management Order</w:t>
      </w:r>
    </w:p>
    <w:p w14:paraId="34BAB1F0" w14:textId="77777777" w:rsidR="00FB3437" w:rsidRDefault="00FB3437" w:rsidP="00FB3437">
      <w:pPr>
        <w:pStyle w:val="ListParagraph"/>
        <w:rPr>
          <w:rFonts w:cs="Arial"/>
          <w:color w:val="000000"/>
          <w:szCs w:val="24"/>
          <w:lang w:val="en" w:eastAsia="en-GB"/>
        </w:rPr>
      </w:pPr>
    </w:p>
    <w:p w14:paraId="34BAB1F1" w14:textId="77777777" w:rsidR="00FB3437" w:rsidRDefault="00E66293" w:rsidP="00E66293">
      <w:pPr>
        <w:ind w:left="720" w:hanging="720"/>
        <w:rPr>
          <w:rFonts w:cs="Arial"/>
          <w:color w:val="000000"/>
          <w:szCs w:val="24"/>
          <w:lang w:val="en" w:eastAsia="en-GB"/>
        </w:rPr>
      </w:pPr>
      <w:r>
        <w:rPr>
          <w:rFonts w:cs="Arial"/>
          <w:color w:val="000000"/>
          <w:szCs w:val="24"/>
          <w:lang w:val="en" w:eastAsia="en-GB"/>
        </w:rPr>
        <w:t>2.14</w:t>
      </w:r>
      <w:r>
        <w:rPr>
          <w:rFonts w:cs="Arial"/>
          <w:color w:val="000000"/>
          <w:szCs w:val="24"/>
          <w:lang w:val="en" w:eastAsia="en-GB"/>
        </w:rPr>
        <w:tab/>
      </w:r>
      <w:r w:rsidR="00031C54" w:rsidRPr="00E07970">
        <w:rPr>
          <w:rFonts w:cs="Arial"/>
          <w:color w:val="000000"/>
          <w:szCs w:val="24"/>
          <w:lang w:val="en" w:eastAsia="en-GB"/>
        </w:rPr>
        <w:t>A Special Interim Management Order transfers the management of a residential property to the local housing authority for a period of up to 12 months and can only be made if approved by a residential property tribunal.</w:t>
      </w:r>
    </w:p>
    <w:p w14:paraId="34BAB1F2" w14:textId="77777777" w:rsidR="00FB3437" w:rsidRDefault="00FB3437" w:rsidP="00FB3437">
      <w:pPr>
        <w:rPr>
          <w:rFonts w:cs="Arial"/>
          <w:color w:val="000000"/>
          <w:szCs w:val="24"/>
          <w:lang w:val="en" w:eastAsia="en-GB"/>
        </w:rPr>
      </w:pPr>
    </w:p>
    <w:p w14:paraId="34BAB1F3" w14:textId="77777777" w:rsidR="00FB3437" w:rsidRDefault="00E66293" w:rsidP="00E66293">
      <w:pPr>
        <w:ind w:left="720" w:hanging="720"/>
        <w:rPr>
          <w:rFonts w:cs="Arial"/>
          <w:color w:val="000000"/>
          <w:szCs w:val="24"/>
          <w:lang w:val="en" w:eastAsia="en-GB"/>
        </w:rPr>
      </w:pPr>
      <w:r>
        <w:rPr>
          <w:rFonts w:cs="Arial"/>
          <w:color w:val="000000"/>
          <w:szCs w:val="24"/>
          <w:lang w:val="en" w:eastAsia="en-GB"/>
        </w:rPr>
        <w:t>2.15</w:t>
      </w:r>
      <w:r>
        <w:rPr>
          <w:rFonts w:cs="Arial"/>
          <w:color w:val="000000"/>
          <w:szCs w:val="24"/>
          <w:lang w:val="en" w:eastAsia="en-GB"/>
        </w:rPr>
        <w:tab/>
      </w:r>
      <w:r w:rsidR="00031C54">
        <w:rPr>
          <w:rFonts w:cs="Arial"/>
          <w:color w:val="000000"/>
          <w:szCs w:val="24"/>
          <w:lang w:val="en" w:eastAsia="en-GB"/>
        </w:rPr>
        <w:t xml:space="preserve">These orders are used to address matters of anti-social </w:t>
      </w:r>
      <w:proofErr w:type="spellStart"/>
      <w:r w:rsidR="00031C54">
        <w:rPr>
          <w:rFonts w:cs="Arial"/>
          <w:color w:val="000000"/>
          <w:szCs w:val="24"/>
          <w:lang w:val="en" w:eastAsia="en-GB"/>
        </w:rPr>
        <w:t>behaviour</w:t>
      </w:r>
      <w:proofErr w:type="spellEnd"/>
      <w:r w:rsidR="00031C54">
        <w:rPr>
          <w:rFonts w:cs="Arial"/>
          <w:color w:val="000000"/>
          <w:szCs w:val="24"/>
          <w:lang w:val="en" w:eastAsia="en-GB"/>
        </w:rPr>
        <w:t xml:space="preserve"> emanating from a property that the landlord is failing to take </w:t>
      </w:r>
      <w:r w:rsidR="00031C54">
        <w:rPr>
          <w:rFonts w:cs="Arial"/>
          <w:color w:val="000000"/>
          <w:szCs w:val="24"/>
          <w:lang w:val="en" w:eastAsia="en-GB"/>
        </w:rPr>
        <w:lastRenderedPageBreak/>
        <w:t>appropriate action to deal with.  The order is then made to protect the health, safety or welfare of persons occupying, visiting or engaged in lawful activities in the locality of the house.</w:t>
      </w:r>
    </w:p>
    <w:p w14:paraId="34BAB1F4" w14:textId="77777777" w:rsidR="00FB3437" w:rsidRDefault="00FB3437" w:rsidP="00FB3437">
      <w:pPr>
        <w:pStyle w:val="ListParagraph"/>
        <w:ind w:left="0"/>
        <w:rPr>
          <w:rFonts w:cs="Arial"/>
          <w:color w:val="000000"/>
          <w:szCs w:val="24"/>
          <w:lang w:val="en" w:eastAsia="en-GB"/>
        </w:rPr>
      </w:pPr>
    </w:p>
    <w:p w14:paraId="34BAB1F5" w14:textId="77777777" w:rsidR="00FB3437" w:rsidRDefault="00E66293" w:rsidP="00E66293">
      <w:pPr>
        <w:ind w:left="720" w:hanging="720"/>
        <w:rPr>
          <w:rFonts w:cs="Arial"/>
          <w:color w:val="000000"/>
          <w:szCs w:val="24"/>
          <w:lang w:val="en" w:eastAsia="en-GB"/>
        </w:rPr>
      </w:pPr>
      <w:r>
        <w:rPr>
          <w:rFonts w:cs="Arial"/>
          <w:color w:val="000000"/>
          <w:szCs w:val="24"/>
          <w:lang w:val="en" w:eastAsia="en-GB"/>
        </w:rPr>
        <w:t>2.16</w:t>
      </w:r>
      <w:r>
        <w:rPr>
          <w:rFonts w:cs="Arial"/>
          <w:color w:val="000000"/>
          <w:szCs w:val="24"/>
          <w:lang w:val="en" w:eastAsia="en-GB"/>
        </w:rPr>
        <w:tab/>
      </w:r>
      <w:r w:rsidR="00031C54">
        <w:rPr>
          <w:rFonts w:cs="Arial"/>
          <w:color w:val="000000"/>
          <w:szCs w:val="24"/>
          <w:lang w:val="en" w:eastAsia="en-GB"/>
        </w:rPr>
        <w:t xml:space="preserve">These are strong powers to deal with isolated individual problems of individual anti-social </w:t>
      </w:r>
      <w:proofErr w:type="spellStart"/>
      <w:r w:rsidR="00031C54">
        <w:rPr>
          <w:rFonts w:cs="Arial"/>
          <w:color w:val="000000"/>
          <w:szCs w:val="24"/>
          <w:lang w:val="en" w:eastAsia="en-GB"/>
        </w:rPr>
        <w:t>behaviour</w:t>
      </w:r>
      <w:proofErr w:type="spellEnd"/>
      <w:r w:rsidR="00031C54">
        <w:rPr>
          <w:rFonts w:cs="Arial"/>
          <w:color w:val="000000"/>
          <w:szCs w:val="24"/>
          <w:lang w:val="en" w:eastAsia="en-GB"/>
        </w:rPr>
        <w:t xml:space="preserve"> which nevertheless seriously impact upon the community.</w:t>
      </w:r>
    </w:p>
    <w:p w14:paraId="34BAB1F6" w14:textId="77777777" w:rsidR="00FB3437" w:rsidRDefault="00FB3437" w:rsidP="00FB3437">
      <w:pPr>
        <w:pStyle w:val="ListParagraph"/>
        <w:ind w:left="0"/>
        <w:rPr>
          <w:rFonts w:cs="Arial"/>
          <w:color w:val="000000"/>
          <w:szCs w:val="24"/>
          <w:lang w:val="en" w:eastAsia="en-GB"/>
        </w:rPr>
      </w:pPr>
    </w:p>
    <w:p w14:paraId="34BAB1F7" w14:textId="77777777" w:rsidR="00FB3437" w:rsidRDefault="00E66293" w:rsidP="00E66293">
      <w:pPr>
        <w:pStyle w:val="ListParagraph"/>
        <w:ind w:hanging="720"/>
        <w:rPr>
          <w:rFonts w:cs="Arial"/>
          <w:color w:val="000000"/>
          <w:szCs w:val="24"/>
          <w:lang w:val="en" w:eastAsia="en-GB"/>
        </w:rPr>
      </w:pPr>
      <w:r>
        <w:rPr>
          <w:rFonts w:cs="Arial"/>
          <w:color w:val="000000"/>
          <w:szCs w:val="24"/>
          <w:lang w:val="en" w:eastAsia="en-GB"/>
        </w:rPr>
        <w:t>2.17</w:t>
      </w:r>
      <w:r>
        <w:rPr>
          <w:rFonts w:cs="Arial"/>
          <w:color w:val="000000"/>
          <w:szCs w:val="24"/>
          <w:lang w:val="en" w:eastAsia="en-GB"/>
        </w:rPr>
        <w:tab/>
      </w:r>
      <w:r w:rsidR="00031C54">
        <w:rPr>
          <w:rFonts w:cs="Arial"/>
          <w:color w:val="000000"/>
          <w:szCs w:val="24"/>
          <w:lang w:val="en" w:eastAsia="en-GB"/>
        </w:rPr>
        <w:t xml:space="preserve">This option is already in place, but has </w:t>
      </w:r>
      <w:proofErr w:type="spellStart"/>
      <w:r w:rsidR="00031C54">
        <w:rPr>
          <w:rFonts w:cs="Arial"/>
          <w:color w:val="000000"/>
          <w:szCs w:val="24"/>
          <w:lang w:val="en" w:eastAsia="en-GB"/>
        </w:rPr>
        <w:t>localised</w:t>
      </w:r>
      <w:proofErr w:type="spellEnd"/>
      <w:r w:rsidR="00031C54">
        <w:rPr>
          <w:rFonts w:cs="Arial"/>
          <w:color w:val="000000"/>
          <w:szCs w:val="24"/>
          <w:lang w:val="en" w:eastAsia="en-GB"/>
        </w:rPr>
        <w:t xml:space="preserve"> effect on its own and can be used where a focused approach is needed.</w:t>
      </w:r>
    </w:p>
    <w:p w14:paraId="34BAB1F8" w14:textId="77777777" w:rsidR="00CC604C" w:rsidRDefault="00CC604C" w:rsidP="00FB3437">
      <w:pPr>
        <w:autoSpaceDE w:val="0"/>
        <w:autoSpaceDN w:val="0"/>
        <w:adjustRightInd w:val="0"/>
        <w:jc w:val="both"/>
        <w:rPr>
          <w:rFonts w:cs="Arial"/>
          <w:b/>
          <w:bCs/>
        </w:rPr>
      </w:pPr>
    </w:p>
    <w:p w14:paraId="34BAB1F9" w14:textId="77777777" w:rsidR="00FB3437" w:rsidRPr="00C31DBE" w:rsidRDefault="00031C54" w:rsidP="00FB3437">
      <w:pPr>
        <w:autoSpaceDE w:val="0"/>
        <w:autoSpaceDN w:val="0"/>
        <w:adjustRightInd w:val="0"/>
        <w:jc w:val="both"/>
        <w:rPr>
          <w:rFonts w:cs="Arial"/>
          <w:b/>
        </w:rPr>
      </w:pPr>
      <w:r w:rsidRPr="00C31DBE">
        <w:rPr>
          <w:rFonts w:cs="Arial"/>
          <w:b/>
          <w:bCs/>
        </w:rPr>
        <w:t>Part 1 of the Housing Act 2004</w:t>
      </w:r>
    </w:p>
    <w:p w14:paraId="34BAB1FA" w14:textId="77777777" w:rsidR="00FB3437" w:rsidRDefault="00FB3437" w:rsidP="00FB3437">
      <w:pPr>
        <w:ind w:left="720"/>
        <w:rPr>
          <w:rFonts w:cs="Arial"/>
          <w:color w:val="000000"/>
          <w:szCs w:val="24"/>
          <w:lang w:val="en" w:eastAsia="en-GB"/>
        </w:rPr>
      </w:pPr>
    </w:p>
    <w:p w14:paraId="34BAB1FB" w14:textId="77777777" w:rsidR="00FB3437" w:rsidRDefault="00E66293" w:rsidP="00E66293">
      <w:pPr>
        <w:ind w:left="720" w:hanging="720"/>
        <w:rPr>
          <w:rFonts w:cs="Arial"/>
        </w:rPr>
      </w:pPr>
      <w:r>
        <w:rPr>
          <w:rFonts w:cs="Arial"/>
        </w:rPr>
        <w:t>2.18</w:t>
      </w:r>
      <w:r>
        <w:rPr>
          <w:rFonts w:cs="Arial"/>
        </w:rPr>
        <w:tab/>
      </w:r>
      <w:r w:rsidR="00031C54" w:rsidRPr="001F6802">
        <w:rPr>
          <w:rFonts w:cs="Arial"/>
        </w:rPr>
        <w:t xml:space="preserve">These enforcement powers are designed to effectively deal with hazards within a property and though effective at getting landlords to remedy such hazards, Part 1 of the Act does not offer a wider strategic procedure to improve a designated area. </w:t>
      </w:r>
    </w:p>
    <w:p w14:paraId="34BAB1FC" w14:textId="77777777" w:rsidR="00FB3437" w:rsidRDefault="00FB3437" w:rsidP="00FB3437">
      <w:pPr>
        <w:ind w:left="720"/>
        <w:rPr>
          <w:rFonts w:cs="Arial"/>
        </w:rPr>
      </w:pPr>
    </w:p>
    <w:p w14:paraId="34BAB1FD" w14:textId="77777777" w:rsidR="00FB3437" w:rsidRPr="00C31DBE" w:rsidRDefault="00031C54" w:rsidP="00FB3437">
      <w:pPr>
        <w:autoSpaceDE w:val="0"/>
        <w:autoSpaceDN w:val="0"/>
        <w:adjustRightInd w:val="0"/>
        <w:jc w:val="both"/>
        <w:rPr>
          <w:rFonts w:cs="Arial"/>
          <w:b/>
        </w:rPr>
      </w:pPr>
      <w:r w:rsidRPr="00C31DBE">
        <w:rPr>
          <w:rFonts w:cs="Arial"/>
          <w:b/>
          <w:bCs/>
        </w:rPr>
        <w:t xml:space="preserve">Empty Property Strategy </w:t>
      </w:r>
    </w:p>
    <w:p w14:paraId="34BAB1FE" w14:textId="77777777" w:rsidR="00FB3437" w:rsidRDefault="00FB3437" w:rsidP="00FB3437">
      <w:pPr>
        <w:ind w:left="720"/>
        <w:rPr>
          <w:rFonts w:cs="Arial"/>
        </w:rPr>
      </w:pPr>
    </w:p>
    <w:p w14:paraId="34BAB1FF" w14:textId="77777777" w:rsidR="00FB3437" w:rsidRDefault="00E66293" w:rsidP="00E66293">
      <w:pPr>
        <w:ind w:left="720" w:hanging="720"/>
        <w:rPr>
          <w:rFonts w:cs="Arial"/>
        </w:rPr>
      </w:pPr>
      <w:r>
        <w:rPr>
          <w:rFonts w:cs="Arial"/>
        </w:rPr>
        <w:t>2.19</w:t>
      </w:r>
      <w:r>
        <w:rPr>
          <w:rFonts w:cs="Arial"/>
        </w:rPr>
        <w:tab/>
      </w:r>
      <w:r w:rsidR="00031C54" w:rsidRPr="00C31DBE">
        <w:rPr>
          <w:rFonts w:cs="Arial"/>
        </w:rPr>
        <w:t xml:space="preserve">The council already has an intervention team dedicated to bringing long-term empty dwellings back into use but this initiative is only restricted to empty homes and cannot deal with poorly managed private rented accommodation.  </w:t>
      </w:r>
    </w:p>
    <w:p w14:paraId="34BAB200" w14:textId="77777777" w:rsidR="00FB3437" w:rsidRDefault="00FB3437" w:rsidP="00FB3437">
      <w:pPr>
        <w:rPr>
          <w:rFonts w:cs="Arial"/>
        </w:rPr>
      </w:pPr>
    </w:p>
    <w:p w14:paraId="34BAB201" w14:textId="77777777" w:rsidR="00CA1467" w:rsidRPr="009F5FD4" w:rsidRDefault="00031C54" w:rsidP="00CA1467">
      <w:pPr>
        <w:rPr>
          <w:rFonts w:cs="Arial"/>
          <w:b/>
          <w:color w:val="000000"/>
          <w:szCs w:val="24"/>
          <w:lang w:val="en" w:eastAsia="en-GB"/>
        </w:rPr>
      </w:pPr>
      <w:r w:rsidRPr="009F5FD4">
        <w:rPr>
          <w:rFonts w:cs="Arial"/>
          <w:b/>
          <w:color w:val="000000"/>
          <w:szCs w:val="24"/>
          <w:lang w:val="en" w:eastAsia="en-GB"/>
        </w:rPr>
        <w:t xml:space="preserve">Designation of the </w:t>
      </w:r>
      <w:r w:rsidR="005E5F36">
        <w:rPr>
          <w:rFonts w:cs="Arial"/>
          <w:b/>
          <w:color w:val="000000"/>
          <w:szCs w:val="24"/>
          <w:lang w:val="en" w:eastAsia="en-GB"/>
        </w:rPr>
        <w:t>Wealdstone</w:t>
      </w:r>
      <w:r w:rsidRPr="009F5FD4">
        <w:rPr>
          <w:rFonts w:cs="Arial"/>
          <w:b/>
          <w:color w:val="000000"/>
          <w:szCs w:val="24"/>
          <w:lang w:val="en" w:eastAsia="en-GB"/>
        </w:rPr>
        <w:t xml:space="preserve"> Ward for Selective Licensing</w:t>
      </w:r>
    </w:p>
    <w:p w14:paraId="34BAB202" w14:textId="77777777" w:rsidR="00CA1467" w:rsidRDefault="00CA1467" w:rsidP="00CA1467">
      <w:pPr>
        <w:pStyle w:val="ListParagraph"/>
        <w:rPr>
          <w:rFonts w:cs="Arial"/>
          <w:color w:val="000000"/>
          <w:szCs w:val="24"/>
          <w:lang w:val="en" w:eastAsia="en-GB"/>
        </w:rPr>
      </w:pPr>
    </w:p>
    <w:p w14:paraId="34BAB203" w14:textId="77777777" w:rsidR="00E66293" w:rsidRDefault="00031C54" w:rsidP="00E66293">
      <w:pPr>
        <w:numPr>
          <w:ilvl w:val="1"/>
          <w:numId w:val="35"/>
        </w:numPr>
        <w:rPr>
          <w:rFonts w:cs="Arial"/>
          <w:color w:val="000000"/>
          <w:szCs w:val="24"/>
          <w:lang w:val="en" w:eastAsia="en-GB"/>
        </w:rPr>
      </w:pPr>
      <w:r>
        <w:rPr>
          <w:rFonts w:cs="Arial"/>
          <w:color w:val="000000"/>
          <w:szCs w:val="24"/>
          <w:lang w:val="en" w:eastAsia="en-GB"/>
        </w:rPr>
        <w:t xml:space="preserve"> </w:t>
      </w:r>
      <w:r>
        <w:rPr>
          <w:rFonts w:cs="Arial"/>
          <w:color w:val="000000"/>
          <w:szCs w:val="24"/>
          <w:lang w:val="en" w:eastAsia="en-GB"/>
        </w:rPr>
        <w:tab/>
      </w:r>
      <w:r w:rsidR="00CA1467" w:rsidRPr="00B935CB">
        <w:rPr>
          <w:rFonts w:cs="Arial"/>
          <w:color w:val="000000"/>
          <w:szCs w:val="24"/>
          <w:lang w:val="en" w:eastAsia="en-GB"/>
        </w:rPr>
        <w:t xml:space="preserve">Selective licensing applies to privately rented homes which are not </w:t>
      </w:r>
    </w:p>
    <w:p w14:paraId="34BAB204" w14:textId="77777777" w:rsidR="00E66293" w:rsidRDefault="00CA1467" w:rsidP="00E66293">
      <w:pPr>
        <w:ind w:left="473" w:firstLine="247"/>
        <w:rPr>
          <w:rFonts w:cs="Arial"/>
          <w:color w:val="000000"/>
          <w:szCs w:val="24"/>
          <w:lang w:val="en" w:eastAsia="en-GB"/>
        </w:rPr>
      </w:pPr>
      <w:r w:rsidRPr="00E66293">
        <w:rPr>
          <w:rFonts w:cs="Arial"/>
          <w:color w:val="000000"/>
          <w:szCs w:val="24"/>
          <w:lang w:val="en" w:eastAsia="en-GB"/>
        </w:rPr>
        <w:t xml:space="preserve">HMOs.  </w:t>
      </w:r>
    </w:p>
    <w:p w14:paraId="34BAB205" w14:textId="77777777" w:rsidR="00E66293" w:rsidRDefault="00E66293" w:rsidP="00E66293">
      <w:pPr>
        <w:rPr>
          <w:rFonts w:cs="Arial"/>
          <w:color w:val="000000"/>
          <w:szCs w:val="24"/>
          <w:lang w:val="en" w:eastAsia="en-GB"/>
        </w:rPr>
      </w:pPr>
    </w:p>
    <w:p w14:paraId="34BAB206" w14:textId="77777777" w:rsidR="00CA1467" w:rsidRDefault="00E66293" w:rsidP="00E66293">
      <w:pPr>
        <w:ind w:left="709" w:hanging="709"/>
        <w:rPr>
          <w:rFonts w:cs="Arial"/>
          <w:color w:val="000000"/>
          <w:szCs w:val="24"/>
          <w:lang w:val="en" w:eastAsia="en-GB"/>
        </w:rPr>
      </w:pPr>
      <w:r>
        <w:rPr>
          <w:rFonts w:cs="Arial"/>
          <w:color w:val="000000"/>
          <w:szCs w:val="24"/>
          <w:lang w:val="en" w:eastAsia="en-GB"/>
        </w:rPr>
        <w:t>2.21</w:t>
      </w:r>
      <w:r>
        <w:rPr>
          <w:rFonts w:cs="Arial"/>
          <w:color w:val="000000"/>
          <w:szCs w:val="24"/>
          <w:lang w:val="en" w:eastAsia="en-GB"/>
        </w:rPr>
        <w:tab/>
      </w:r>
      <w:r w:rsidR="00031C54" w:rsidRPr="00B935CB">
        <w:rPr>
          <w:rFonts w:cs="Arial"/>
          <w:color w:val="000000"/>
          <w:szCs w:val="24"/>
          <w:lang w:val="en" w:eastAsia="en-GB"/>
        </w:rPr>
        <w:t>In light of the consultation outcome</w:t>
      </w:r>
      <w:r w:rsidR="00031C54">
        <w:rPr>
          <w:rFonts w:cs="Arial"/>
          <w:color w:val="000000"/>
          <w:szCs w:val="24"/>
          <w:lang w:val="en" w:eastAsia="en-GB"/>
        </w:rPr>
        <w:t xml:space="preserve"> and feedback</w:t>
      </w:r>
      <w:r w:rsidR="00031C54" w:rsidRPr="00B935CB">
        <w:rPr>
          <w:rFonts w:cs="Arial"/>
          <w:color w:val="000000"/>
          <w:szCs w:val="24"/>
          <w:lang w:val="en" w:eastAsia="en-GB"/>
        </w:rPr>
        <w:t xml:space="preserve">, </w:t>
      </w:r>
      <w:r w:rsidR="00031C54">
        <w:rPr>
          <w:rFonts w:cs="Arial"/>
          <w:color w:val="000000"/>
          <w:szCs w:val="24"/>
          <w:lang w:val="en" w:eastAsia="en-GB"/>
        </w:rPr>
        <w:t xml:space="preserve">and </w:t>
      </w:r>
      <w:r w:rsidR="00031C54" w:rsidRPr="00B935CB">
        <w:rPr>
          <w:rFonts w:cs="Arial"/>
          <w:color w:val="000000"/>
          <w:szCs w:val="24"/>
          <w:lang w:val="en" w:eastAsia="en-GB"/>
        </w:rPr>
        <w:t>in conjunction with the evidential reports within the appendi</w:t>
      </w:r>
      <w:r w:rsidR="00031C54">
        <w:rPr>
          <w:rFonts w:cs="Arial"/>
          <w:color w:val="000000"/>
          <w:szCs w:val="24"/>
          <w:lang w:val="en" w:eastAsia="en-GB"/>
        </w:rPr>
        <w:t>ces</w:t>
      </w:r>
      <w:r w:rsidR="00031C54" w:rsidRPr="00B935CB">
        <w:rPr>
          <w:rFonts w:cs="Arial"/>
          <w:color w:val="000000"/>
          <w:szCs w:val="24"/>
          <w:lang w:val="en" w:eastAsia="en-GB"/>
        </w:rPr>
        <w:t xml:space="preserve">, it appears that a Selective Licensing scheme designation for the </w:t>
      </w:r>
      <w:r w:rsidR="005E5F36">
        <w:rPr>
          <w:rFonts w:cs="Arial"/>
          <w:color w:val="000000"/>
          <w:szCs w:val="24"/>
          <w:lang w:val="en" w:eastAsia="en-GB"/>
        </w:rPr>
        <w:t>Wealdstone</w:t>
      </w:r>
      <w:r w:rsidR="00031C54" w:rsidRPr="00B935CB">
        <w:rPr>
          <w:rFonts w:cs="Arial"/>
          <w:color w:val="000000"/>
          <w:szCs w:val="24"/>
          <w:lang w:val="en" w:eastAsia="en-GB"/>
        </w:rPr>
        <w:t xml:space="preserve"> Ward would</w:t>
      </w:r>
      <w:r w:rsidR="00031C54">
        <w:rPr>
          <w:rFonts w:cs="Arial"/>
          <w:color w:val="000000"/>
          <w:szCs w:val="24"/>
          <w:lang w:val="en" w:eastAsia="en-GB"/>
        </w:rPr>
        <w:t xml:space="preserve"> continue to</w:t>
      </w:r>
      <w:r w:rsidR="00031C54" w:rsidRPr="00B935CB">
        <w:rPr>
          <w:rFonts w:cs="Arial"/>
          <w:color w:val="000000"/>
          <w:szCs w:val="24"/>
          <w:lang w:val="en" w:eastAsia="en-GB"/>
        </w:rPr>
        <w:t xml:space="preserve"> help to tackle the issues identified.</w:t>
      </w:r>
    </w:p>
    <w:p w14:paraId="34BAB207" w14:textId="77777777" w:rsidR="00CA1467" w:rsidRDefault="00CA1467" w:rsidP="00CA1467">
      <w:pPr>
        <w:pStyle w:val="ListParagraph"/>
        <w:rPr>
          <w:rFonts w:cs="Arial"/>
          <w:color w:val="000000"/>
          <w:szCs w:val="24"/>
          <w:lang w:val="en" w:eastAsia="en-GB"/>
        </w:rPr>
      </w:pPr>
    </w:p>
    <w:p w14:paraId="34BAB208" w14:textId="77777777" w:rsidR="00CA1467" w:rsidRDefault="00031C54" w:rsidP="00B272FB">
      <w:pPr>
        <w:numPr>
          <w:ilvl w:val="1"/>
          <w:numId w:val="36"/>
        </w:numPr>
        <w:ind w:left="709" w:hanging="709"/>
        <w:rPr>
          <w:rFonts w:cs="Arial"/>
          <w:color w:val="000000"/>
          <w:szCs w:val="24"/>
          <w:lang w:val="en" w:eastAsia="en-GB"/>
        </w:rPr>
      </w:pPr>
      <w:r w:rsidRPr="00B935CB">
        <w:rPr>
          <w:rFonts w:cs="Arial"/>
          <w:color w:val="000000"/>
          <w:szCs w:val="24"/>
          <w:lang w:val="en" w:eastAsia="en-GB"/>
        </w:rPr>
        <w:t xml:space="preserve">The </w:t>
      </w:r>
      <w:r>
        <w:rPr>
          <w:rFonts w:cs="Arial"/>
          <w:color w:val="000000"/>
          <w:szCs w:val="24"/>
          <w:lang w:val="en" w:eastAsia="en-GB"/>
        </w:rPr>
        <w:t xml:space="preserve">renewal </w:t>
      </w:r>
      <w:r w:rsidRPr="00B935CB">
        <w:rPr>
          <w:rFonts w:cs="Arial"/>
          <w:color w:val="000000"/>
          <w:szCs w:val="24"/>
          <w:lang w:val="en" w:eastAsia="en-GB"/>
        </w:rPr>
        <w:t xml:space="preserve">of such a designation would allow a consistent approach </w:t>
      </w:r>
      <w:r w:rsidR="00B272FB">
        <w:rPr>
          <w:rFonts w:cs="Arial"/>
          <w:color w:val="000000"/>
          <w:szCs w:val="24"/>
          <w:lang w:val="en" w:eastAsia="en-GB"/>
        </w:rPr>
        <w:t xml:space="preserve">   </w:t>
      </w:r>
      <w:r w:rsidRPr="00B935CB">
        <w:rPr>
          <w:rFonts w:cs="Arial"/>
          <w:color w:val="000000"/>
          <w:szCs w:val="24"/>
          <w:lang w:val="en" w:eastAsia="en-GB"/>
        </w:rPr>
        <w:t>across the Ward that works in conjunction with the Mandatory and Additional Licensing Schemes, as well as enforcement powers, to address the issues highlighted in the area.</w:t>
      </w:r>
    </w:p>
    <w:p w14:paraId="34BAB209" w14:textId="77777777" w:rsidR="00CA1467" w:rsidRDefault="00CA1467" w:rsidP="00CA1467">
      <w:pPr>
        <w:pStyle w:val="ListParagraph"/>
        <w:rPr>
          <w:rFonts w:cs="Arial"/>
          <w:color w:val="000000"/>
          <w:szCs w:val="24"/>
          <w:lang w:val="en" w:eastAsia="en-GB"/>
        </w:rPr>
      </w:pPr>
    </w:p>
    <w:p w14:paraId="34BAB20A" w14:textId="77777777" w:rsidR="00B272FB" w:rsidRDefault="00CA1467" w:rsidP="00B272FB">
      <w:pPr>
        <w:numPr>
          <w:ilvl w:val="1"/>
          <w:numId w:val="36"/>
        </w:numPr>
        <w:ind w:left="709" w:hanging="709"/>
        <w:rPr>
          <w:rFonts w:cs="Arial"/>
          <w:color w:val="000000"/>
          <w:szCs w:val="24"/>
          <w:lang w:val="en" w:eastAsia="en-GB"/>
        </w:rPr>
      </w:pPr>
      <w:r w:rsidRPr="00B935CB">
        <w:rPr>
          <w:rFonts w:cs="Arial"/>
          <w:color w:val="000000"/>
          <w:szCs w:val="24"/>
          <w:lang w:val="en" w:eastAsia="en-GB"/>
        </w:rPr>
        <w:t xml:space="preserve">It should be noted that a premise that is subject to Mandatory or </w:t>
      </w:r>
      <w:r w:rsidR="00031C54">
        <w:rPr>
          <w:rFonts w:cs="Arial"/>
          <w:color w:val="000000"/>
          <w:szCs w:val="24"/>
          <w:lang w:val="en" w:eastAsia="en-GB"/>
        </w:rPr>
        <w:t xml:space="preserve">   </w:t>
      </w:r>
      <w:r w:rsidRPr="00B935CB">
        <w:rPr>
          <w:rFonts w:cs="Arial"/>
          <w:color w:val="000000"/>
          <w:szCs w:val="24"/>
          <w:lang w:val="en" w:eastAsia="en-GB"/>
        </w:rPr>
        <w:t xml:space="preserve">Additional Licensing would not also need to apply for a Selective License. </w:t>
      </w:r>
    </w:p>
    <w:p w14:paraId="34BAB20B" w14:textId="77777777" w:rsidR="00B272FB" w:rsidRDefault="00B272FB" w:rsidP="00B272FB">
      <w:pPr>
        <w:pStyle w:val="ListParagraph"/>
        <w:rPr>
          <w:rFonts w:cs="Arial"/>
          <w:color w:val="000000"/>
          <w:szCs w:val="24"/>
          <w:lang w:val="en" w:eastAsia="en-GB"/>
        </w:rPr>
      </w:pPr>
    </w:p>
    <w:p w14:paraId="34BAB20C" w14:textId="77777777" w:rsidR="00CA1467" w:rsidRPr="00B272FB" w:rsidRDefault="00031C54" w:rsidP="00B272FB">
      <w:pPr>
        <w:numPr>
          <w:ilvl w:val="1"/>
          <w:numId w:val="36"/>
        </w:numPr>
        <w:ind w:left="709" w:hanging="709"/>
        <w:rPr>
          <w:rFonts w:cs="Arial"/>
          <w:color w:val="000000"/>
          <w:szCs w:val="24"/>
          <w:lang w:val="en" w:eastAsia="en-GB"/>
        </w:rPr>
      </w:pPr>
      <w:r w:rsidRPr="00B272FB">
        <w:rPr>
          <w:rFonts w:cs="Arial"/>
          <w:color w:val="000000"/>
          <w:szCs w:val="24"/>
          <w:lang w:val="en" w:eastAsia="en-GB"/>
        </w:rPr>
        <w:t>This option is recommended to Cabinet to put in place a Ward wide approach to issues.</w:t>
      </w:r>
    </w:p>
    <w:p w14:paraId="34BAB20D" w14:textId="77777777" w:rsidR="00CA1467" w:rsidRDefault="00CA1467" w:rsidP="00CA1467">
      <w:pPr>
        <w:pStyle w:val="ListParagraph"/>
        <w:rPr>
          <w:rFonts w:cs="Arial"/>
          <w:color w:val="000000"/>
          <w:szCs w:val="24"/>
          <w:lang w:val="en" w:eastAsia="en-GB"/>
        </w:rPr>
      </w:pPr>
    </w:p>
    <w:p w14:paraId="34BAB20E" w14:textId="77777777" w:rsidR="00CA1467" w:rsidRPr="00B935CB" w:rsidRDefault="00CA1467" w:rsidP="00CA1467">
      <w:pPr>
        <w:ind w:left="720"/>
        <w:rPr>
          <w:rFonts w:cs="Arial"/>
          <w:color w:val="000000"/>
          <w:szCs w:val="24"/>
          <w:lang w:val="en" w:eastAsia="en-GB"/>
        </w:rPr>
      </w:pPr>
    </w:p>
    <w:p w14:paraId="34BAB20F" w14:textId="77777777" w:rsidR="00CA1467" w:rsidRPr="004B4AE8" w:rsidRDefault="00031C54" w:rsidP="00CA1467">
      <w:pPr>
        <w:pStyle w:val="Heading2"/>
      </w:pPr>
      <w:r w:rsidRPr="004B4AE8">
        <w:t>3. Community Consultation</w:t>
      </w:r>
    </w:p>
    <w:p w14:paraId="34BAB210" w14:textId="77777777" w:rsidR="00CA1467" w:rsidRDefault="00CA1467" w:rsidP="00CA1467">
      <w:pPr>
        <w:rPr>
          <w:color w:val="0000FF"/>
        </w:rPr>
      </w:pPr>
    </w:p>
    <w:p w14:paraId="34BAB211" w14:textId="77777777" w:rsidR="00CA1467" w:rsidRDefault="00031C54" w:rsidP="00CA1467">
      <w:pPr>
        <w:numPr>
          <w:ilvl w:val="2"/>
          <w:numId w:val="6"/>
        </w:numPr>
        <w:rPr>
          <w:rFonts w:cs="Arial"/>
          <w:szCs w:val="24"/>
        </w:rPr>
      </w:pPr>
      <w:r>
        <w:rPr>
          <w:rFonts w:cs="Arial"/>
          <w:szCs w:val="24"/>
        </w:rPr>
        <w:t>The Department of Communities and Local Government Selective Licensing Guidance recommends that any consultation on a scheme is for a minimum 10 weeks.</w:t>
      </w:r>
    </w:p>
    <w:p w14:paraId="34BAB212" w14:textId="77777777" w:rsidR="00CA1467" w:rsidRDefault="00CA1467" w:rsidP="00CA1467">
      <w:pPr>
        <w:ind w:left="720"/>
        <w:rPr>
          <w:rFonts w:cs="Arial"/>
          <w:szCs w:val="24"/>
        </w:rPr>
      </w:pPr>
    </w:p>
    <w:p w14:paraId="34BAB213" w14:textId="77777777" w:rsidR="00CA1467" w:rsidRDefault="00031C54" w:rsidP="00CA1467">
      <w:pPr>
        <w:numPr>
          <w:ilvl w:val="2"/>
          <w:numId w:val="6"/>
        </w:numPr>
        <w:rPr>
          <w:rFonts w:cs="Arial"/>
          <w:szCs w:val="24"/>
        </w:rPr>
      </w:pPr>
      <w:r w:rsidRPr="004B4AE8">
        <w:rPr>
          <w:rFonts w:cs="Arial"/>
          <w:szCs w:val="24"/>
        </w:rPr>
        <w:t xml:space="preserve">The consultation on the </w:t>
      </w:r>
      <w:r>
        <w:rPr>
          <w:rFonts w:cs="Arial"/>
          <w:szCs w:val="24"/>
        </w:rPr>
        <w:t>renewal</w:t>
      </w:r>
      <w:r w:rsidRPr="004B4AE8">
        <w:rPr>
          <w:rFonts w:cs="Arial"/>
          <w:szCs w:val="24"/>
        </w:rPr>
        <w:t xml:space="preserve"> of a </w:t>
      </w:r>
      <w:r>
        <w:rPr>
          <w:rFonts w:cs="Arial"/>
          <w:szCs w:val="24"/>
        </w:rPr>
        <w:t>S</w:t>
      </w:r>
      <w:r w:rsidRPr="004B4AE8">
        <w:rPr>
          <w:rFonts w:cs="Arial"/>
          <w:szCs w:val="24"/>
        </w:rPr>
        <w:t xml:space="preserve">elective </w:t>
      </w:r>
      <w:r>
        <w:rPr>
          <w:rFonts w:cs="Arial"/>
          <w:szCs w:val="24"/>
        </w:rPr>
        <w:t>L</w:t>
      </w:r>
      <w:r w:rsidRPr="004B4AE8">
        <w:rPr>
          <w:rFonts w:cs="Arial"/>
          <w:szCs w:val="24"/>
        </w:rPr>
        <w:t xml:space="preserve">icensing </w:t>
      </w:r>
      <w:r>
        <w:rPr>
          <w:rFonts w:cs="Arial"/>
          <w:szCs w:val="24"/>
        </w:rPr>
        <w:t>S</w:t>
      </w:r>
      <w:r w:rsidRPr="004B4AE8">
        <w:rPr>
          <w:rFonts w:cs="Arial"/>
          <w:szCs w:val="24"/>
        </w:rPr>
        <w:t xml:space="preserve">cheme in the ward of </w:t>
      </w:r>
      <w:r w:rsidR="005E5F36">
        <w:rPr>
          <w:rFonts w:cs="Arial"/>
          <w:szCs w:val="24"/>
        </w:rPr>
        <w:t>Wealdstone</w:t>
      </w:r>
      <w:r w:rsidRPr="004B4AE8">
        <w:rPr>
          <w:rFonts w:cs="Arial"/>
          <w:szCs w:val="24"/>
        </w:rPr>
        <w:t xml:space="preserve"> ran from </w:t>
      </w:r>
      <w:r w:rsidR="007355FD">
        <w:rPr>
          <w:rFonts w:cs="Arial"/>
          <w:b/>
          <w:bCs/>
          <w:szCs w:val="24"/>
        </w:rPr>
        <w:t>25</w:t>
      </w:r>
      <w:r w:rsidR="007355FD" w:rsidRPr="007355FD">
        <w:rPr>
          <w:rFonts w:cs="Arial"/>
          <w:b/>
          <w:bCs/>
          <w:szCs w:val="24"/>
          <w:vertAlign w:val="superscript"/>
        </w:rPr>
        <w:t>th</w:t>
      </w:r>
      <w:r w:rsidR="007355FD">
        <w:rPr>
          <w:rFonts w:cs="Arial"/>
          <w:b/>
          <w:bCs/>
          <w:szCs w:val="24"/>
        </w:rPr>
        <w:t xml:space="preserve"> January 2021</w:t>
      </w:r>
      <w:r w:rsidRPr="004B4AE8">
        <w:rPr>
          <w:rFonts w:cs="Arial"/>
          <w:szCs w:val="24"/>
        </w:rPr>
        <w:t xml:space="preserve"> to </w:t>
      </w:r>
      <w:r w:rsidR="007355FD">
        <w:rPr>
          <w:rFonts w:cs="Arial"/>
          <w:b/>
          <w:bCs/>
          <w:szCs w:val="24"/>
        </w:rPr>
        <w:t>5</w:t>
      </w:r>
      <w:r w:rsidR="007355FD" w:rsidRPr="007355FD">
        <w:rPr>
          <w:rFonts w:cs="Arial"/>
          <w:b/>
          <w:bCs/>
          <w:szCs w:val="24"/>
          <w:vertAlign w:val="superscript"/>
        </w:rPr>
        <w:t>th</w:t>
      </w:r>
      <w:r w:rsidR="007355FD">
        <w:rPr>
          <w:rFonts w:cs="Arial"/>
          <w:b/>
          <w:bCs/>
          <w:szCs w:val="24"/>
        </w:rPr>
        <w:t xml:space="preserve"> April 2021</w:t>
      </w:r>
      <w:r w:rsidRPr="004B4AE8">
        <w:rPr>
          <w:rFonts w:cs="Arial"/>
          <w:szCs w:val="24"/>
        </w:rPr>
        <w:t>.  The aim of the consultation was to seek the views of residents, landlords, local businesses and other stakeholders in the area</w:t>
      </w:r>
      <w:r>
        <w:rPr>
          <w:rFonts w:cs="Arial"/>
          <w:szCs w:val="24"/>
        </w:rPr>
        <w:t xml:space="preserve"> and neighbouring boroughs</w:t>
      </w:r>
      <w:r w:rsidRPr="004B4AE8">
        <w:rPr>
          <w:rFonts w:cs="Arial"/>
          <w:szCs w:val="24"/>
        </w:rPr>
        <w:t xml:space="preserve"> about the issues in the Ward and the potential introduction of the selective licensing scheme.</w:t>
      </w:r>
    </w:p>
    <w:p w14:paraId="34BAB214" w14:textId="77777777" w:rsidR="00CA1467" w:rsidRDefault="00CA1467" w:rsidP="00CA1467">
      <w:pPr>
        <w:pStyle w:val="ListParagraph"/>
        <w:rPr>
          <w:rFonts w:cs="Arial"/>
          <w:szCs w:val="24"/>
        </w:rPr>
      </w:pPr>
    </w:p>
    <w:p w14:paraId="34BAB215" w14:textId="77777777" w:rsidR="00CA1467" w:rsidRDefault="00031C54" w:rsidP="00CA1467">
      <w:pPr>
        <w:numPr>
          <w:ilvl w:val="2"/>
          <w:numId w:val="6"/>
        </w:numPr>
        <w:rPr>
          <w:rFonts w:cs="Arial"/>
          <w:szCs w:val="24"/>
        </w:rPr>
      </w:pPr>
      <w:r w:rsidRPr="004B4AE8">
        <w:rPr>
          <w:rFonts w:cs="Arial"/>
          <w:szCs w:val="24"/>
        </w:rPr>
        <w:t>The consultation was both online and available in hard copy.  Copies of the</w:t>
      </w:r>
      <w:r>
        <w:rPr>
          <w:rFonts w:cs="Arial"/>
          <w:szCs w:val="24"/>
        </w:rPr>
        <w:t xml:space="preserve"> form are attached in </w:t>
      </w:r>
      <w:r w:rsidRPr="00D346A6">
        <w:rPr>
          <w:rFonts w:cs="Arial"/>
          <w:b/>
          <w:szCs w:val="24"/>
        </w:rPr>
        <w:t>Appendix</w:t>
      </w:r>
      <w:r w:rsidR="004C1F81">
        <w:rPr>
          <w:rFonts w:cs="Arial"/>
          <w:b/>
          <w:szCs w:val="24"/>
        </w:rPr>
        <w:t xml:space="preserve"> </w:t>
      </w:r>
      <w:r w:rsidR="009817B4">
        <w:rPr>
          <w:rFonts w:cs="Arial"/>
          <w:b/>
          <w:szCs w:val="24"/>
        </w:rPr>
        <w:t>B</w:t>
      </w:r>
      <w:r>
        <w:rPr>
          <w:rFonts w:cs="Arial"/>
          <w:szCs w:val="24"/>
        </w:rPr>
        <w:t>.</w:t>
      </w:r>
    </w:p>
    <w:p w14:paraId="34BAB216" w14:textId="77777777" w:rsidR="00CA1467" w:rsidRDefault="00CA1467" w:rsidP="00CA1467">
      <w:pPr>
        <w:pStyle w:val="ListParagraph"/>
        <w:rPr>
          <w:rFonts w:cs="Arial"/>
          <w:szCs w:val="24"/>
        </w:rPr>
      </w:pPr>
    </w:p>
    <w:p w14:paraId="34BAB217" w14:textId="77777777" w:rsidR="00CA1467" w:rsidRDefault="00031C54" w:rsidP="00CA1467">
      <w:pPr>
        <w:numPr>
          <w:ilvl w:val="2"/>
          <w:numId w:val="6"/>
        </w:numPr>
        <w:rPr>
          <w:rFonts w:cs="Arial"/>
          <w:szCs w:val="24"/>
        </w:rPr>
      </w:pPr>
      <w:r w:rsidRPr="004B4AE8">
        <w:rPr>
          <w:rFonts w:cs="Arial"/>
          <w:szCs w:val="24"/>
        </w:rPr>
        <w:t>Consultation was also conducted with neighbouring Boroughs due to potential concerns over displacement of issues</w:t>
      </w:r>
      <w:r>
        <w:rPr>
          <w:rFonts w:cs="Arial"/>
          <w:szCs w:val="24"/>
        </w:rPr>
        <w:t>.  No responses were received for or against the proposed scheme.</w:t>
      </w:r>
    </w:p>
    <w:p w14:paraId="34BAB218" w14:textId="77777777" w:rsidR="00CA1467" w:rsidRDefault="00CA1467" w:rsidP="00CA1467">
      <w:pPr>
        <w:pStyle w:val="ListParagraph"/>
        <w:rPr>
          <w:rFonts w:cs="Arial"/>
          <w:szCs w:val="24"/>
        </w:rPr>
      </w:pPr>
    </w:p>
    <w:p w14:paraId="34BAB219" w14:textId="77777777" w:rsidR="00CA1467" w:rsidRDefault="00031C54" w:rsidP="00CA1467">
      <w:pPr>
        <w:numPr>
          <w:ilvl w:val="2"/>
          <w:numId w:val="6"/>
        </w:numPr>
        <w:rPr>
          <w:rFonts w:cs="Arial"/>
          <w:szCs w:val="24"/>
        </w:rPr>
      </w:pPr>
      <w:r>
        <w:rPr>
          <w:rFonts w:cs="Arial"/>
          <w:szCs w:val="24"/>
        </w:rPr>
        <w:t xml:space="preserve">Consultation also included writing to all landlords, managing agents and letting agents known as well as placement of consultation posters around </w:t>
      </w:r>
      <w:r w:rsidR="005E5F36">
        <w:rPr>
          <w:rFonts w:cs="Arial"/>
          <w:szCs w:val="24"/>
        </w:rPr>
        <w:t>Wealdstone</w:t>
      </w:r>
      <w:r>
        <w:rPr>
          <w:rFonts w:cs="Arial"/>
          <w:szCs w:val="24"/>
        </w:rPr>
        <w:t xml:space="preserve"> and neighbouring wards giving details of the proposals as well as means to comment.</w:t>
      </w:r>
    </w:p>
    <w:p w14:paraId="34BAB21A" w14:textId="77777777" w:rsidR="00CA1467" w:rsidRDefault="00CA1467" w:rsidP="00CA1467">
      <w:pPr>
        <w:pStyle w:val="ListParagraph"/>
        <w:rPr>
          <w:rFonts w:cs="Arial"/>
          <w:szCs w:val="24"/>
        </w:rPr>
      </w:pPr>
    </w:p>
    <w:p w14:paraId="34BAB21B" w14:textId="77777777" w:rsidR="00CA1467" w:rsidRDefault="00031C54" w:rsidP="00CA1467">
      <w:pPr>
        <w:numPr>
          <w:ilvl w:val="2"/>
          <w:numId w:val="6"/>
        </w:numPr>
        <w:rPr>
          <w:rFonts w:cs="Arial"/>
          <w:szCs w:val="24"/>
        </w:rPr>
      </w:pPr>
      <w:r w:rsidRPr="004B4AE8">
        <w:rPr>
          <w:rFonts w:cs="Arial"/>
          <w:szCs w:val="24"/>
        </w:rPr>
        <w:t xml:space="preserve">Feedback from the consultation is contained in </w:t>
      </w:r>
      <w:r w:rsidRPr="004B4AE8">
        <w:rPr>
          <w:rFonts w:cs="Arial"/>
          <w:b/>
          <w:szCs w:val="24"/>
        </w:rPr>
        <w:t>Appendix</w:t>
      </w:r>
      <w:r w:rsidR="004C1F81">
        <w:rPr>
          <w:rFonts w:cs="Arial"/>
          <w:b/>
          <w:szCs w:val="24"/>
        </w:rPr>
        <w:t xml:space="preserve"> </w:t>
      </w:r>
      <w:r w:rsidR="009817B4">
        <w:rPr>
          <w:rFonts w:cs="Arial"/>
          <w:b/>
          <w:szCs w:val="24"/>
        </w:rPr>
        <w:t>A</w:t>
      </w:r>
      <w:r w:rsidRPr="004B4AE8">
        <w:rPr>
          <w:rFonts w:cs="Arial"/>
          <w:szCs w:val="24"/>
        </w:rPr>
        <w:t>, with a summary below.</w:t>
      </w:r>
    </w:p>
    <w:p w14:paraId="34BAB21C" w14:textId="77777777" w:rsidR="00CA1467" w:rsidRDefault="00CA1467" w:rsidP="00CA1467">
      <w:pPr>
        <w:pStyle w:val="ListParagraph"/>
        <w:rPr>
          <w:rFonts w:cs="Arial"/>
          <w:szCs w:val="24"/>
        </w:rPr>
      </w:pPr>
    </w:p>
    <w:p w14:paraId="34BAB21D" w14:textId="77777777" w:rsidR="00CA1467" w:rsidRDefault="00031C54" w:rsidP="00CA1467">
      <w:pPr>
        <w:numPr>
          <w:ilvl w:val="2"/>
          <w:numId w:val="6"/>
        </w:numPr>
        <w:rPr>
          <w:rFonts w:cs="Arial"/>
          <w:szCs w:val="24"/>
        </w:rPr>
      </w:pPr>
      <w:r>
        <w:rPr>
          <w:rFonts w:cs="Arial"/>
          <w:szCs w:val="24"/>
        </w:rPr>
        <w:t xml:space="preserve">Formal consultation also took place with other relevant partners, including Housing Needs, due to the need to ensure a tie in with any approach addressing homelessness and empty homes.  </w:t>
      </w:r>
    </w:p>
    <w:p w14:paraId="34BAB21E" w14:textId="77777777" w:rsidR="00CA1467" w:rsidRDefault="00CA1467" w:rsidP="00CA1467">
      <w:pPr>
        <w:pStyle w:val="ListParagraph"/>
        <w:rPr>
          <w:rFonts w:cs="Arial"/>
          <w:szCs w:val="24"/>
        </w:rPr>
      </w:pPr>
    </w:p>
    <w:p w14:paraId="34BAB21F" w14:textId="77777777" w:rsidR="00CA1467" w:rsidRDefault="00031C54" w:rsidP="00CA1467">
      <w:pPr>
        <w:numPr>
          <w:ilvl w:val="2"/>
          <w:numId w:val="6"/>
        </w:numPr>
        <w:rPr>
          <w:rFonts w:cs="Arial"/>
          <w:szCs w:val="24"/>
        </w:rPr>
      </w:pPr>
      <w:r>
        <w:rPr>
          <w:rFonts w:cs="Arial"/>
          <w:szCs w:val="24"/>
        </w:rPr>
        <w:t>On contacting other Councils who have introduced a Selective Licensing scheme, there appears to be no evidence to suggest an increase in homelessness as a result.  This would tie in with the lack of evidence as a result of introducing additional and mandatory HMO licensing in the Borough.</w:t>
      </w:r>
    </w:p>
    <w:p w14:paraId="34BAB220" w14:textId="77777777" w:rsidR="00CA1467" w:rsidRDefault="00CA1467" w:rsidP="00CA1467">
      <w:pPr>
        <w:rPr>
          <w:rFonts w:cs="Arial"/>
          <w:szCs w:val="24"/>
        </w:rPr>
      </w:pPr>
    </w:p>
    <w:p w14:paraId="34BAB222" w14:textId="77777777" w:rsidR="00CA1467" w:rsidRPr="0089039E" w:rsidRDefault="00031C54" w:rsidP="00CA1467">
      <w:pPr>
        <w:rPr>
          <w:rFonts w:cs="Arial"/>
          <w:b/>
          <w:szCs w:val="24"/>
        </w:rPr>
      </w:pPr>
      <w:r w:rsidRPr="0089039E">
        <w:rPr>
          <w:rFonts w:cs="Arial"/>
          <w:b/>
          <w:szCs w:val="24"/>
        </w:rPr>
        <w:t>Summary of Consultation</w:t>
      </w:r>
    </w:p>
    <w:p w14:paraId="34BAB223" w14:textId="77777777" w:rsidR="00CA1467" w:rsidRDefault="00CA1467" w:rsidP="00CA1467">
      <w:pPr>
        <w:pStyle w:val="ListParagraph"/>
        <w:rPr>
          <w:rFonts w:cs="Arial"/>
          <w:szCs w:val="24"/>
        </w:rPr>
      </w:pPr>
    </w:p>
    <w:p w14:paraId="34BAB224" w14:textId="77777777" w:rsidR="00503153" w:rsidRDefault="00031C54" w:rsidP="00503153">
      <w:pPr>
        <w:numPr>
          <w:ilvl w:val="2"/>
          <w:numId w:val="6"/>
        </w:numPr>
        <w:rPr>
          <w:rFonts w:cs="Arial"/>
          <w:szCs w:val="24"/>
        </w:rPr>
      </w:pPr>
      <w:r w:rsidRPr="00C449E5">
        <w:rPr>
          <w:rFonts w:cs="Arial"/>
          <w:color w:val="000000"/>
          <w:szCs w:val="24"/>
        </w:rPr>
        <w:t>Overall 46 people responded to the consultation, including 13 people identifying as living in Wealdstone and 7 landlords with properties in Wealdstone.</w:t>
      </w:r>
    </w:p>
    <w:p w14:paraId="34BAB225" w14:textId="77777777" w:rsidR="00503153" w:rsidRDefault="00503153" w:rsidP="00503153">
      <w:pPr>
        <w:ind w:left="720"/>
        <w:rPr>
          <w:rFonts w:cs="Arial"/>
          <w:szCs w:val="24"/>
        </w:rPr>
      </w:pPr>
    </w:p>
    <w:p w14:paraId="34BAB226" w14:textId="0B746E9A" w:rsidR="00503153" w:rsidRPr="00503153" w:rsidRDefault="00031C54" w:rsidP="00503153">
      <w:pPr>
        <w:numPr>
          <w:ilvl w:val="2"/>
          <w:numId w:val="6"/>
        </w:numPr>
        <w:rPr>
          <w:rFonts w:cs="Arial"/>
          <w:szCs w:val="24"/>
        </w:rPr>
      </w:pPr>
      <w:r w:rsidRPr="00C449E5">
        <w:rPr>
          <w:rFonts w:cs="Arial"/>
          <w:color w:val="000000"/>
          <w:szCs w:val="24"/>
        </w:rPr>
        <w:t>33% of people responding agreed with the scheme proposal, going up to 37% wanting it implemented. This compares to 17% and 20% against</w:t>
      </w:r>
      <w:r w:rsidR="00482CC8">
        <w:rPr>
          <w:rFonts w:cs="Arial"/>
          <w:color w:val="000000"/>
          <w:szCs w:val="24"/>
        </w:rPr>
        <w:t>.</w:t>
      </w:r>
    </w:p>
    <w:p w14:paraId="34BAB227" w14:textId="77777777" w:rsidR="00503153" w:rsidRDefault="00503153" w:rsidP="00503153">
      <w:pPr>
        <w:pStyle w:val="ListParagraph"/>
        <w:rPr>
          <w:rFonts w:cs="Arial"/>
          <w:szCs w:val="24"/>
        </w:rPr>
      </w:pPr>
    </w:p>
    <w:p w14:paraId="34BAB228" w14:textId="77777777" w:rsidR="00503153" w:rsidRDefault="00031C54" w:rsidP="00503153">
      <w:pPr>
        <w:numPr>
          <w:ilvl w:val="2"/>
          <w:numId w:val="6"/>
        </w:numPr>
        <w:rPr>
          <w:rFonts w:cs="Arial"/>
          <w:szCs w:val="24"/>
        </w:rPr>
      </w:pPr>
      <w:r>
        <w:rPr>
          <w:rFonts w:cs="Arial"/>
          <w:szCs w:val="24"/>
        </w:rPr>
        <w:t>Of 20 tenants who responded overall (13 inside Wealdstone), 30% stated that their landlords were not meeting legal requirements around references and checks.  This also coincides with 30% of overall respondents feeling that landlords were not doing enough to tackle tenants ASB and nuisance.  Partners (Police and Council) were also seen as needing to do more around this area.</w:t>
      </w:r>
    </w:p>
    <w:p w14:paraId="34BAB229" w14:textId="77777777" w:rsidR="00503153" w:rsidRDefault="00503153" w:rsidP="00503153">
      <w:pPr>
        <w:pStyle w:val="ListParagraph"/>
        <w:rPr>
          <w:rFonts w:cs="Arial"/>
          <w:szCs w:val="24"/>
        </w:rPr>
      </w:pPr>
    </w:p>
    <w:p w14:paraId="34BAB22A" w14:textId="77777777" w:rsidR="00503153" w:rsidRPr="00503153" w:rsidRDefault="00031C54" w:rsidP="00503153">
      <w:pPr>
        <w:numPr>
          <w:ilvl w:val="2"/>
          <w:numId w:val="6"/>
        </w:numPr>
        <w:rPr>
          <w:rFonts w:cs="Arial"/>
          <w:szCs w:val="24"/>
        </w:rPr>
      </w:pPr>
      <w:r w:rsidRPr="00503153">
        <w:rPr>
          <w:rFonts w:cs="Arial"/>
          <w:szCs w:val="24"/>
        </w:rPr>
        <w:t xml:space="preserve">The comments made, and the replies, can be found in </w:t>
      </w:r>
      <w:r w:rsidRPr="004C1F81">
        <w:rPr>
          <w:rFonts w:cs="Arial"/>
          <w:b/>
          <w:bCs/>
          <w:szCs w:val="24"/>
        </w:rPr>
        <w:t xml:space="preserve">Appendix </w:t>
      </w:r>
      <w:r w:rsidR="009817B4">
        <w:rPr>
          <w:rFonts w:cs="Arial"/>
          <w:b/>
          <w:bCs/>
          <w:szCs w:val="24"/>
        </w:rPr>
        <w:t>A</w:t>
      </w:r>
      <w:r w:rsidRPr="00503153">
        <w:rPr>
          <w:rFonts w:cs="Arial"/>
          <w:szCs w:val="24"/>
        </w:rPr>
        <w:t xml:space="preserve">, but has a range of responses indicating clearly responsible landlords to </w:t>
      </w:r>
      <w:r w:rsidRPr="00503153">
        <w:rPr>
          <w:rFonts w:cs="Arial"/>
          <w:szCs w:val="24"/>
        </w:rPr>
        <w:lastRenderedPageBreak/>
        <w:t>those that face criticism for not taking action.  This includes “</w:t>
      </w:r>
      <w:r w:rsidRPr="00503153">
        <w:rPr>
          <w:rFonts w:cs="Arial"/>
          <w:szCs w:val="24"/>
          <w:lang w:eastAsia="en-GB"/>
        </w:rPr>
        <w:t>Frequent noise pollution, urinating on my property, poor maintenance on property,</w:t>
      </w:r>
      <w:r>
        <w:rPr>
          <w:rFonts w:cs="Arial"/>
          <w:szCs w:val="24"/>
          <w:lang w:eastAsia="en-GB"/>
        </w:rPr>
        <w:t xml:space="preserve"> </w:t>
      </w:r>
      <w:r w:rsidRPr="00503153">
        <w:rPr>
          <w:rFonts w:cs="Arial"/>
          <w:szCs w:val="24"/>
          <w:lang w:eastAsia="en-GB"/>
        </w:rPr>
        <w:t>fighting from tenants, rubbish dumbed frequently, multi-tenant house frequent change of individuals, not following COVID guidance.”</w:t>
      </w:r>
    </w:p>
    <w:p w14:paraId="34BAB22B" w14:textId="77777777" w:rsidR="00503153" w:rsidRDefault="00503153" w:rsidP="00503153">
      <w:pPr>
        <w:ind w:left="720"/>
        <w:rPr>
          <w:rFonts w:cs="Arial"/>
          <w:szCs w:val="24"/>
        </w:rPr>
      </w:pPr>
    </w:p>
    <w:p w14:paraId="34BAB22C" w14:textId="77777777" w:rsidR="00503153" w:rsidRDefault="00031C54" w:rsidP="00503153">
      <w:pPr>
        <w:numPr>
          <w:ilvl w:val="2"/>
          <w:numId w:val="6"/>
        </w:numPr>
        <w:rPr>
          <w:rFonts w:cs="Arial"/>
          <w:szCs w:val="24"/>
        </w:rPr>
      </w:pPr>
      <w:r>
        <w:rPr>
          <w:rFonts w:cs="Arial"/>
          <w:szCs w:val="24"/>
        </w:rPr>
        <w:t xml:space="preserve">This sums up the issues facing Wealdstone still, around fly tipping, </w:t>
      </w:r>
      <w:proofErr w:type="spellStart"/>
      <w:r>
        <w:rPr>
          <w:rFonts w:cs="Arial"/>
          <w:szCs w:val="24"/>
        </w:rPr>
        <w:t>asb</w:t>
      </w:r>
      <w:proofErr w:type="spellEnd"/>
      <w:r>
        <w:rPr>
          <w:rFonts w:cs="Arial"/>
          <w:szCs w:val="24"/>
        </w:rPr>
        <w:t xml:space="preserve"> from tenants and general inconsistency of approach across the private rented sector.</w:t>
      </w:r>
    </w:p>
    <w:p w14:paraId="34BAB22D" w14:textId="77777777" w:rsidR="00391B17" w:rsidRDefault="00391B17" w:rsidP="00391B17">
      <w:pPr>
        <w:pStyle w:val="ListParagraph"/>
        <w:rPr>
          <w:rFonts w:cs="Arial"/>
          <w:szCs w:val="24"/>
        </w:rPr>
      </w:pPr>
    </w:p>
    <w:p w14:paraId="34BAB22E" w14:textId="7772CB36" w:rsidR="00391B17" w:rsidRDefault="00031C54" w:rsidP="00503153">
      <w:pPr>
        <w:numPr>
          <w:ilvl w:val="2"/>
          <w:numId w:val="6"/>
        </w:numPr>
        <w:rPr>
          <w:rFonts w:cs="Arial"/>
          <w:szCs w:val="24"/>
        </w:rPr>
      </w:pPr>
      <w:r>
        <w:rPr>
          <w:rFonts w:cs="Arial"/>
          <w:szCs w:val="24"/>
        </w:rPr>
        <w:t>The consultation was responded to by 12 landlords and 1 letting / managing agent (28% of respondents), yet only 17% (8) respondents overall felt such a scheme would not be needed to address matters of ASB, Crime and Environmental issues.</w:t>
      </w:r>
    </w:p>
    <w:p w14:paraId="117F4532" w14:textId="77777777" w:rsidR="00AE4902" w:rsidRDefault="00AE4902" w:rsidP="00AE4902">
      <w:pPr>
        <w:pStyle w:val="ListParagraph"/>
        <w:rPr>
          <w:rFonts w:cs="Arial"/>
          <w:szCs w:val="24"/>
        </w:rPr>
      </w:pPr>
    </w:p>
    <w:p w14:paraId="09EAD879" w14:textId="202B8472" w:rsidR="00AE4902" w:rsidRDefault="00AE4902" w:rsidP="00503153">
      <w:pPr>
        <w:numPr>
          <w:ilvl w:val="2"/>
          <w:numId w:val="6"/>
        </w:numPr>
        <w:rPr>
          <w:rFonts w:cs="Arial"/>
          <w:szCs w:val="24"/>
        </w:rPr>
      </w:pPr>
      <w:r>
        <w:rPr>
          <w:rFonts w:cs="Arial"/>
          <w:szCs w:val="24"/>
        </w:rPr>
        <w:t>The comments section of the consultation highlighted a lot of good work being done by landlords, but also inconsistency in this across the area with a lot of people still reporting problems.  There are quite a few comments relating to the feeling that the Local Authority should target tenants more, but this is indirectly done through the requirements of the scheme.  For example, the requirement of an ASB action plan clearly sets out the consequences of tenants if they do not adhere to the rules.</w:t>
      </w:r>
    </w:p>
    <w:p w14:paraId="34BAB22F" w14:textId="77777777" w:rsidR="00391B17" w:rsidRDefault="00391B17" w:rsidP="00391B17">
      <w:pPr>
        <w:pStyle w:val="ListParagraph"/>
        <w:rPr>
          <w:rFonts w:cs="Arial"/>
          <w:szCs w:val="24"/>
        </w:rPr>
      </w:pPr>
    </w:p>
    <w:p w14:paraId="34BAB230" w14:textId="7C179730" w:rsidR="00391B17" w:rsidRDefault="00031C54" w:rsidP="00503153">
      <w:pPr>
        <w:numPr>
          <w:ilvl w:val="2"/>
          <w:numId w:val="6"/>
        </w:numPr>
        <w:rPr>
          <w:rFonts w:cs="Arial"/>
          <w:szCs w:val="24"/>
        </w:rPr>
      </w:pPr>
      <w:r>
        <w:rPr>
          <w:rFonts w:cs="Arial"/>
          <w:szCs w:val="24"/>
        </w:rPr>
        <w:t xml:space="preserve">Of the 22 people responding around the fees aspects in either a positive or negative manner, 55% (12) were against the proposed fee and 45% for.  </w:t>
      </w:r>
    </w:p>
    <w:p w14:paraId="70495DC6" w14:textId="77777777" w:rsidR="00AE4902" w:rsidRDefault="00AE4902" w:rsidP="00AE4902">
      <w:pPr>
        <w:pStyle w:val="ListParagraph"/>
        <w:rPr>
          <w:rFonts w:cs="Arial"/>
          <w:szCs w:val="24"/>
        </w:rPr>
      </w:pPr>
    </w:p>
    <w:p w14:paraId="300FFC28" w14:textId="6F3DCC2B" w:rsidR="00AE4902" w:rsidRPr="00503153" w:rsidRDefault="00AE4902" w:rsidP="00503153">
      <w:pPr>
        <w:numPr>
          <w:ilvl w:val="2"/>
          <w:numId w:val="6"/>
        </w:numPr>
        <w:rPr>
          <w:rFonts w:cs="Arial"/>
          <w:szCs w:val="24"/>
        </w:rPr>
      </w:pPr>
      <w:r>
        <w:rPr>
          <w:rFonts w:cs="Arial"/>
          <w:szCs w:val="24"/>
        </w:rPr>
        <w:t>Assessing the consultation comments, the main criticism is the view that such a scheme is put in place as a money making process.  As can be seen by the fee structure for Selective Licensing, the fee is set to recover costs and not to make profit, in line with legislative and guidance requirements.  It is understood though how, particularly for landlords, another fee is see as a burden though its impact is limited (£550 per 5 years in the main, £110 per year, less than £10 per month).</w:t>
      </w:r>
    </w:p>
    <w:p w14:paraId="34BAB231" w14:textId="77777777" w:rsidR="00503153" w:rsidRPr="00503153" w:rsidRDefault="00503153" w:rsidP="00503153">
      <w:pPr>
        <w:rPr>
          <w:rFonts w:cs="Arial"/>
          <w:szCs w:val="24"/>
        </w:rPr>
      </w:pPr>
    </w:p>
    <w:p w14:paraId="34BAB232" w14:textId="77777777" w:rsidR="00CA1467" w:rsidRDefault="00CA1467" w:rsidP="00CA1467">
      <w:pPr>
        <w:rPr>
          <w:rFonts w:cs="Arial"/>
          <w:szCs w:val="24"/>
        </w:rPr>
      </w:pPr>
    </w:p>
    <w:p w14:paraId="34BAB233" w14:textId="77777777" w:rsidR="00CA1467" w:rsidRPr="001E3D0A" w:rsidRDefault="00031C54" w:rsidP="00CA1467">
      <w:pPr>
        <w:rPr>
          <w:rFonts w:cs="Arial"/>
          <w:b/>
          <w:sz w:val="32"/>
          <w:szCs w:val="24"/>
        </w:rPr>
      </w:pPr>
      <w:r>
        <w:rPr>
          <w:rFonts w:cs="Arial"/>
          <w:b/>
          <w:sz w:val="32"/>
          <w:szCs w:val="24"/>
        </w:rPr>
        <w:t xml:space="preserve">4. </w:t>
      </w:r>
      <w:r w:rsidRPr="001E3D0A">
        <w:rPr>
          <w:rFonts w:cs="Arial"/>
          <w:b/>
          <w:sz w:val="32"/>
          <w:szCs w:val="24"/>
        </w:rPr>
        <w:t>Licensing Conditions</w:t>
      </w:r>
    </w:p>
    <w:p w14:paraId="34BAB234" w14:textId="77777777" w:rsidR="00CA1467" w:rsidRDefault="00CA1467" w:rsidP="00CA1467">
      <w:pPr>
        <w:rPr>
          <w:rFonts w:cs="Arial"/>
          <w:szCs w:val="24"/>
        </w:rPr>
      </w:pPr>
    </w:p>
    <w:p w14:paraId="34BAB235" w14:textId="77777777" w:rsidR="00CA1467" w:rsidRDefault="00031C54" w:rsidP="00CA1467">
      <w:pPr>
        <w:numPr>
          <w:ilvl w:val="2"/>
          <w:numId w:val="7"/>
        </w:numPr>
        <w:rPr>
          <w:rFonts w:cs="Arial"/>
          <w:szCs w:val="24"/>
        </w:rPr>
      </w:pPr>
      <w:r>
        <w:rPr>
          <w:rFonts w:cs="Arial"/>
          <w:szCs w:val="24"/>
        </w:rPr>
        <w:t xml:space="preserve">Under the Housing Act 2004, Selective Licensing is subject to certain mandatory conditions that would be applied to all licences. </w:t>
      </w:r>
    </w:p>
    <w:p w14:paraId="34BAB236" w14:textId="77777777" w:rsidR="00CA1467" w:rsidRDefault="00CA1467" w:rsidP="00CA1467">
      <w:pPr>
        <w:ind w:left="720"/>
        <w:rPr>
          <w:rFonts w:cs="Arial"/>
          <w:szCs w:val="24"/>
        </w:rPr>
      </w:pPr>
    </w:p>
    <w:p w14:paraId="34BAB237" w14:textId="77777777" w:rsidR="00CA1467" w:rsidRDefault="00031C54" w:rsidP="00CA1467">
      <w:pPr>
        <w:numPr>
          <w:ilvl w:val="2"/>
          <w:numId w:val="7"/>
        </w:numPr>
        <w:rPr>
          <w:rFonts w:cs="Arial"/>
          <w:szCs w:val="24"/>
        </w:rPr>
      </w:pPr>
      <w:r w:rsidRPr="001E3D0A">
        <w:rPr>
          <w:rFonts w:cs="Arial"/>
          <w:szCs w:val="24"/>
        </w:rPr>
        <w:t xml:space="preserve">Further, discretionary conditions can also be applied in relation to certain aspects; it is proposed to include these to directly address elements of anti-social behaviour, including environmental impact.  All proposed conditions, together with the mandatory ones, are shown in </w:t>
      </w:r>
      <w:r w:rsidRPr="00A45797">
        <w:rPr>
          <w:rFonts w:cs="Arial"/>
          <w:b/>
          <w:szCs w:val="24"/>
        </w:rPr>
        <w:t xml:space="preserve">Appendix </w:t>
      </w:r>
      <w:r w:rsidR="009817B4">
        <w:rPr>
          <w:rFonts w:cs="Arial"/>
          <w:b/>
          <w:szCs w:val="24"/>
        </w:rPr>
        <w:t>D</w:t>
      </w:r>
      <w:r w:rsidRPr="001E3D0A">
        <w:rPr>
          <w:rFonts w:cs="Arial"/>
          <w:szCs w:val="24"/>
        </w:rPr>
        <w:t>.</w:t>
      </w:r>
    </w:p>
    <w:p w14:paraId="34BAB238" w14:textId="77777777" w:rsidR="00CA1467" w:rsidRDefault="00CA1467" w:rsidP="00CA1467">
      <w:pPr>
        <w:pStyle w:val="ListParagraph"/>
        <w:rPr>
          <w:rFonts w:cs="Arial"/>
          <w:szCs w:val="24"/>
        </w:rPr>
      </w:pPr>
    </w:p>
    <w:p w14:paraId="34BAB239" w14:textId="77777777" w:rsidR="00CA1467" w:rsidRDefault="00031C54" w:rsidP="00CA1467">
      <w:pPr>
        <w:numPr>
          <w:ilvl w:val="2"/>
          <w:numId w:val="7"/>
        </w:numPr>
        <w:rPr>
          <w:rFonts w:cs="Arial"/>
          <w:szCs w:val="24"/>
        </w:rPr>
      </w:pPr>
      <w:r w:rsidRPr="001F6802">
        <w:rPr>
          <w:rFonts w:cs="Arial"/>
          <w:szCs w:val="24"/>
        </w:rPr>
        <w:t xml:space="preserve">The discretionary conditions are linked to the management of the premise and the tenancy use and are aimed not to put any further financial burden on any party.  Additionally, it includes the requirement to inform the Authority of any material change to the premise or any legal action / convictions that occur.  This is aimed to maintain </w:t>
      </w:r>
      <w:r w:rsidRPr="001F6802">
        <w:rPr>
          <w:rFonts w:cs="Arial"/>
          <w:szCs w:val="24"/>
        </w:rPr>
        <w:lastRenderedPageBreak/>
        <w:t>confidence in the licensing scheme and ensure statutory requirements are met.</w:t>
      </w:r>
    </w:p>
    <w:p w14:paraId="34BAB23A" w14:textId="77777777" w:rsidR="0081223E" w:rsidRDefault="0081223E" w:rsidP="0081223E">
      <w:pPr>
        <w:pStyle w:val="ListParagraph"/>
        <w:rPr>
          <w:rFonts w:cs="Arial"/>
          <w:szCs w:val="24"/>
        </w:rPr>
      </w:pPr>
    </w:p>
    <w:p w14:paraId="34BAB23B" w14:textId="0CC3BABA" w:rsidR="0081223E" w:rsidRPr="0081223E" w:rsidRDefault="00031C54" w:rsidP="0081223E">
      <w:pPr>
        <w:numPr>
          <w:ilvl w:val="2"/>
          <w:numId w:val="7"/>
        </w:numPr>
        <w:shd w:val="clear" w:color="auto" w:fill="FFFFFF"/>
        <w:spacing w:line="0" w:lineRule="atLeast"/>
        <w:rPr>
          <w:rFonts w:cs="Arial"/>
          <w:szCs w:val="24"/>
          <w:lang w:eastAsia="en-GB"/>
        </w:rPr>
      </w:pPr>
      <w:r w:rsidRPr="0081223E">
        <w:rPr>
          <w:rFonts w:cs="Arial"/>
          <w:szCs w:val="24"/>
        </w:rPr>
        <w:t xml:space="preserve">Any condition must link to </w:t>
      </w:r>
      <w:r w:rsidRPr="0081223E">
        <w:rPr>
          <w:rFonts w:cs="Arial"/>
          <w:color w:val="000000"/>
          <w:szCs w:val="24"/>
        </w:rPr>
        <w:t>“</w:t>
      </w:r>
      <w:r w:rsidRPr="0081223E">
        <w:rPr>
          <w:rFonts w:cs="Arial"/>
          <w:i/>
          <w:iCs/>
          <w:color w:val="000000"/>
          <w:szCs w:val="24"/>
        </w:rPr>
        <w:t>management, use or occupation of the house concerned</w:t>
      </w:r>
      <w:r w:rsidRPr="0081223E">
        <w:rPr>
          <w:rFonts w:cs="Arial"/>
          <w:color w:val="000000"/>
          <w:szCs w:val="24"/>
        </w:rPr>
        <w:t xml:space="preserve">” and does not include in the main any structural aspect.  In terms of items it refers to, these are those that are provided within either as a condition on a licence or a requirement of the law, which Schedule 4 of the Act provides mandatory ones being those around gas and electrical certificates, smoke and carbon monoxide detectors and terms of occupation.  None of these technically are related to the standard of the building in terms of structure, damp, energy </w:t>
      </w:r>
      <w:proofErr w:type="spellStart"/>
      <w:r w:rsidRPr="0081223E">
        <w:rPr>
          <w:rFonts w:cs="Arial"/>
          <w:color w:val="000000"/>
          <w:szCs w:val="24"/>
        </w:rPr>
        <w:t>etc</w:t>
      </w:r>
      <w:proofErr w:type="spellEnd"/>
      <w:r w:rsidRPr="0081223E">
        <w:rPr>
          <w:rFonts w:cs="Arial"/>
          <w:color w:val="000000"/>
          <w:szCs w:val="24"/>
        </w:rPr>
        <w:t>, and the reason being that other legislation is in place to regulate</w:t>
      </w:r>
      <w:r w:rsidR="00482CC8">
        <w:rPr>
          <w:rFonts w:cs="Arial"/>
          <w:color w:val="000000"/>
          <w:szCs w:val="24"/>
        </w:rPr>
        <w:t>.</w:t>
      </w:r>
    </w:p>
    <w:p w14:paraId="34BAB23C" w14:textId="77777777" w:rsidR="0081223E" w:rsidRDefault="0081223E" w:rsidP="0081223E">
      <w:pPr>
        <w:pStyle w:val="ListParagraph"/>
        <w:rPr>
          <w:rFonts w:cs="Arial"/>
          <w:szCs w:val="24"/>
          <w:lang w:eastAsia="en-GB"/>
        </w:rPr>
      </w:pPr>
    </w:p>
    <w:p w14:paraId="34BAB23D" w14:textId="4BDF2E90" w:rsidR="0081223E" w:rsidRPr="0081223E" w:rsidRDefault="00031C54" w:rsidP="0081223E">
      <w:pPr>
        <w:numPr>
          <w:ilvl w:val="2"/>
          <w:numId w:val="7"/>
        </w:numPr>
        <w:rPr>
          <w:rFonts w:cs="Arial"/>
          <w:szCs w:val="24"/>
        </w:rPr>
      </w:pPr>
      <w:r w:rsidRPr="0081223E">
        <w:rPr>
          <w:rFonts w:cs="Arial"/>
          <w:color w:val="000000"/>
          <w:szCs w:val="24"/>
        </w:rPr>
        <w:t xml:space="preserve">Therefore </w:t>
      </w:r>
      <w:r>
        <w:rPr>
          <w:rFonts w:cs="Arial"/>
          <w:color w:val="000000"/>
          <w:szCs w:val="24"/>
        </w:rPr>
        <w:t>in setting conditions it must be</w:t>
      </w:r>
      <w:r w:rsidRPr="0081223E">
        <w:rPr>
          <w:rFonts w:cs="Arial"/>
          <w:color w:val="000000"/>
          <w:szCs w:val="24"/>
        </w:rPr>
        <w:t xml:space="preserve"> ensure</w:t>
      </w:r>
      <w:r>
        <w:rPr>
          <w:rFonts w:cs="Arial"/>
          <w:color w:val="000000"/>
          <w:szCs w:val="24"/>
        </w:rPr>
        <w:t>d</w:t>
      </w:r>
      <w:r w:rsidRPr="0081223E">
        <w:rPr>
          <w:rFonts w:cs="Arial"/>
          <w:color w:val="000000"/>
          <w:szCs w:val="24"/>
        </w:rPr>
        <w:t xml:space="preserve"> that </w:t>
      </w:r>
      <w:r>
        <w:rPr>
          <w:rFonts w:cs="Arial"/>
          <w:color w:val="000000"/>
          <w:szCs w:val="24"/>
        </w:rPr>
        <w:t>they do not vary</w:t>
      </w:r>
      <w:r w:rsidRPr="0081223E">
        <w:rPr>
          <w:rFonts w:cs="Arial"/>
          <w:color w:val="000000"/>
          <w:szCs w:val="24"/>
        </w:rPr>
        <w:t xml:space="preserve"> from conditions that are allowed to those that step outside management and occupation, as there is case law around this making it clear selective licensing can only regulate management and occupation, not conditions or contents which can be done under HMO licensing</w:t>
      </w:r>
      <w:r>
        <w:rPr>
          <w:rStyle w:val="FootnoteReference"/>
          <w:rFonts w:cs="Arial"/>
          <w:color w:val="000000"/>
          <w:szCs w:val="24"/>
        </w:rPr>
        <w:footnoteReference w:id="7"/>
      </w:r>
      <w:r w:rsidR="00482CC8">
        <w:rPr>
          <w:rFonts w:cs="Arial"/>
          <w:color w:val="000000"/>
          <w:szCs w:val="24"/>
        </w:rPr>
        <w:t>.</w:t>
      </w:r>
    </w:p>
    <w:p w14:paraId="34BAB23E" w14:textId="77777777" w:rsidR="00CA1467" w:rsidRDefault="00CA1467" w:rsidP="00CA1467">
      <w:pPr>
        <w:pStyle w:val="ListParagraph"/>
        <w:rPr>
          <w:rFonts w:cs="Arial"/>
          <w:szCs w:val="24"/>
        </w:rPr>
      </w:pPr>
    </w:p>
    <w:p w14:paraId="34BAB23F" w14:textId="77777777" w:rsidR="00CA1467" w:rsidRDefault="00031C54" w:rsidP="00CA1467">
      <w:pPr>
        <w:numPr>
          <w:ilvl w:val="2"/>
          <w:numId w:val="7"/>
        </w:numPr>
        <w:rPr>
          <w:rFonts w:cs="Arial"/>
          <w:szCs w:val="24"/>
        </w:rPr>
      </w:pPr>
      <w:r>
        <w:rPr>
          <w:rFonts w:cs="Arial"/>
          <w:szCs w:val="24"/>
        </w:rPr>
        <w:t>The original assessment of a Selective Licensing Scheme addressed the conditions that would be applicable, and these formed the basis of those previously imposed and subject to discussion during consultation.</w:t>
      </w:r>
    </w:p>
    <w:p w14:paraId="34BAB240" w14:textId="77777777" w:rsidR="00CA1467" w:rsidRDefault="00CA1467" w:rsidP="00CA1467">
      <w:pPr>
        <w:rPr>
          <w:rFonts w:cs="Arial"/>
          <w:szCs w:val="24"/>
        </w:rPr>
      </w:pPr>
    </w:p>
    <w:p w14:paraId="34BAB241" w14:textId="77777777" w:rsidR="00CA1467" w:rsidRDefault="00031C54" w:rsidP="00CA1467">
      <w:pPr>
        <w:numPr>
          <w:ilvl w:val="2"/>
          <w:numId w:val="7"/>
        </w:numPr>
        <w:rPr>
          <w:rFonts w:cs="Arial"/>
          <w:szCs w:val="24"/>
        </w:rPr>
      </w:pPr>
      <w:r w:rsidRPr="001E3D0A">
        <w:rPr>
          <w:rFonts w:cs="Arial"/>
          <w:szCs w:val="24"/>
        </w:rPr>
        <w:t xml:space="preserve">The conditions have </w:t>
      </w:r>
      <w:r>
        <w:rPr>
          <w:rFonts w:cs="Arial"/>
          <w:szCs w:val="24"/>
        </w:rPr>
        <w:t xml:space="preserve">also </w:t>
      </w:r>
      <w:r w:rsidRPr="001E3D0A">
        <w:rPr>
          <w:rFonts w:cs="Arial"/>
          <w:szCs w:val="24"/>
        </w:rPr>
        <w:t>been set in line with those applied by neighbouring boroughs, to ensure consistency of approach as landlords and tenants operate across boundaries</w:t>
      </w:r>
      <w:r>
        <w:rPr>
          <w:rFonts w:cs="Arial"/>
          <w:szCs w:val="24"/>
        </w:rPr>
        <w:t>, and therefore trying to minimise the burden on landlords by minimising conflicting or additional burdens and to minimise displacing any issues.</w:t>
      </w:r>
    </w:p>
    <w:p w14:paraId="34BAB242" w14:textId="77777777" w:rsidR="00B272FB" w:rsidRDefault="00B272FB" w:rsidP="00B272FB">
      <w:pPr>
        <w:pStyle w:val="ListParagraph"/>
        <w:rPr>
          <w:rFonts w:cs="Arial"/>
          <w:szCs w:val="24"/>
        </w:rPr>
      </w:pPr>
    </w:p>
    <w:p w14:paraId="34BAB243" w14:textId="77777777" w:rsidR="00CA1467" w:rsidRPr="001E3D0A" w:rsidRDefault="00031C54" w:rsidP="00CA1467">
      <w:pPr>
        <w:numPr>
          <w:ilvl w:val="2"/>
          <w:numId w:val="7"/>
        </w:numPr>
        <w:rPr>
          <w:rFonts w:cs="Arial"/>
          <w:szCs w:val="24"/>
        </w:rPr>
      </w:pPr>
      <w:r w:rsidRPr="001E3D0A">
        <w:rPr>
          <w:rFonts w:cs="Arial"/>
          <w:szCs w:val="24"/>
        </w:rPr>
        <w:t>The fee set on application covers the reasonable monitoring of these conditions to ensure compliance</w:t>
      </w:r>
      <w:r>
        <w:rPr>
          <w:rFonts w:cs="Arial"/>
          <w:szCs w:val="24"/>
        </w:rPr>
        <w:t>, with the majority expected to be in place at the application and approval stages</w:t>
      </w:r>
      <w:r w:rsidRPr="001E3D0A">
        <w:rPr>
          <w:rFonts w:cs="Arial"/>
          <w:szCs w:val="24"/>
        </w:rPr>
        <w:t>.</w:t>
      </w:r>
      <w:r>
        <w:rPr>
          <w:rFonts w:cs="Arial"/>
          <w:szCs w:val="24"/>
        </w:rPr>
        <w:t xml:space="preserve">  These fees are set as part of the annual Council fee setting process.</w:t>
      </w:r>
    </w:p>
    <w:p w14:paraId="34BAB244" w14:textId="77777777" w:rsidR="00CA1467" w:rsidRDefault="00CA1467" w:rsidP="00CA1467">
      <w:pPr>
        <w:rPr>
          <w:rFonts w:cs="Arial"/>
          <w:szCs w:val="24"/>
        </w:rPr>
      </w:pPr>
    </w:p>
    <w:p w14:paraId="34BAB245" w14:textId="77777777" w:rsidR="00CA1467" w:rsidRPr="001E3D0A" w:rsidRDefault="00031C54" w:rsidP="00CA1467">
      <w:pPr>
        <w:rPr>
          <w:rFonts w:cs="Arial"/>
          <w:b/>
          <w:sz w:val="32"/>
          <w:szCs w:val="24"/>
        </w:rPr>
      </w:pPr>
      <w:r w:rsidRPr="001E3D0A">
        <w:rPr>
          <w:rFonts w:cs="Arial"/>
          <w:b/>
          <w:sz w:val="32"/>
          <w:szCs w:val="24"/>
        </w:rPr>
        <w:t>5. Designation</w:t>
      </w:r>
    </w:p>
    <w:p w14:paraId="34BAB246" w14:textId="77777777" w:rsidR="00CA1467" w:rsidRDefault="00CA1467" w:rsidP="00CA1467">
      <w:pPr>
        <w:rPr>
          <w:rFonts w:cs="Arial"/>
          <w:szCs w:val="24"/>
        </w:rPr>
      </w:pPr>
    </w:p>
    <w:p w14:paraId="34BAB247" w14:textId="77777777" w:rsidR="00CA1467" w:rsidRDefault="00031C54" w:rsidP="00CA1467">
      <w:pPr>
        <w:numPr>
          <w:ilvl w:val="2"/>
          <w:numId w:val="8"/>
        </w:numPr>
        <w:rPr>
          <w:rFonts w:cs="Arial"/>
          <w:szCs w:val="24"/>
        </w:rPr>
      </w:pPr>
      <w:r>
        <w:rPr>
          <w:rFonts w:cs="Arial"/>
          <w:szCs w:val="24"/>
        </w:rPr>
        <w:t>Should Cabinet agree to the renewal of a Selective Licensing Scheme, a Designation Notice must be issued which gives formal notification of the scheme.  This Designation Notice must comply with the requirements set out in Section 83 of the Housing Act 2004, including the proper publication of it.</w:t>
      </w:r>
    </w:p>
    <w:p w14:paraId="34BAB248" w14:textId="77777777" w:rsidR="00CA1467" w:rsidRDefault="00CA1467" w:rsidP="00CA1467">
      <w:pPr>
        <w:ind w:left="720"/>
        <w:rPr>
          <w:rFonts w:cs="Arial"/>
          <w:szCs w:val="24"/>
        </w:rPr>
      </w:pPr>
    </w:p>
    <w:p w14:paraId="34BAB249" w14:textId="77777777" w:rsidR="00CA1467" w:rsidRDefault="00031C54" w:rsidP="00CA1467">
      <w:pPr>
        <w:numPr>
          <w:ilvl w:val="2"/>
          <w:numId w:val="8"/>
        </w:numPr>
        <w:rPr>
          <w:rFonts w:cs="Arial"/>
          <w:szCs w:val="24"/>
        </w:rPr>
      </w:pPr>
      <w:r w:rsidRPr="001E3D0A">
        <w:rPr>
          <w:rFonts w:cs="Arial"/>
          <w:szCs w:val="24"/>
        </w:rPr>
        <w:t>A period of no less than three (3) months (from the designation being made) must pass before the scheme then comes into force.  This period is to be used to advertise the scheme, work with landlords and ensure the successful implementation.</w:t>
      </w:r>
    </w:p>
    <w:p w14:paraId="34BAB24A" w14:textId="77777777" w:rsidR="00CA1467" w:rsidRDefault="00CA1467" w:rsidP="00CA1467">
      <w:pPr>
        <w:ind w:left="720"/>
        <w:rPr>
          <w:rFonts w:cs="Arial"/>
          <w:szCs w:val="24"/>
        </w:rPr>
      </w:pPr>
    </w:p>
    <w:p w14:paraId="34BAB24B" w14:textId="77777777" w:rsidR="00CA1467" w:rsidRPr="001E3D0A" w:rsidRDefault="00031C54" w:rsidP="00CA1467">
      <w:pPr>
        <w:numPr>
          <w:ilvl w:val="2"/>
          <w:numId w:val="8"/>
        </w:numPr>
        <w:rPr>
          <w:rFonts w:cs="Arial"/>
          <w:szCs w:val="24"/>
        </w:rPr>
      </w:pPr>
      <w:r w:rsidRPr="001E3D0A">
        <w:rPr>
          <w:rFonts w:cs="Arial"/>
          <w:szCs w:val="24"/>
        </w:rPr>
        <w:lastRenderedPageBreak/>
        <w:t xml:space="preserve">Based on the above, it is proposed that the designation of the scheme comes into force on </w:t>
      </w:r>
      <w:r w:rsidR="00CC604C">
        <w:rPr>
          <w:rFonts w:cs="Arial"/>
          <w:b/>
          <w:bCs/>
          <w:szCs w:val="24"/>
        </w:rPr>
        <w:t>2</w:t>
      </w:r>
      <w:r w:rsidR="00CC604C" w:rsidRPr="00CC604C">
        <w:rPr>
          <w:rFonts w:cs="Arial"/>
          <w:b/>
          <w:bCs/>
          <w:szCs w:val="24"/>
          <w:vertAlign w:val="superscript"/>
        </w:rPr>
        <w:t>nd</w:t>
      </w:r>
      <w:r w:rsidR="00CC604C">
        <w:rPr>
          <w:rFonts w:cs="Arial"/>
          <w:b/>
          <w:bCs/>
          <w:szCs w:val="24"/>
        </w:rPr>
        <w:t xml:space="preserve"> September 2021</w:t>
      </w:r>
      <w:r w:rsidRPr="001E3D0A">
        <w:rPr>
          <w:rFonts w:cs="Arial"/>
          <w:szCs w:val="24"/>
        </w:rPr>
        <w:t>,</w:t>
      </w:r>
      <w:r>
        <w:rPr>
          <w:rFonts w:cs="Arial"/>
          <w:szCs w:val="24"/>
        </w:rPr>
        <w:t xml:space="preserve"> which meets the 3 month period and allows for the call in period.</w:t>
      </w:r>
      <w:r w:rsidRPr="001E3D0A">
        <w:rPr>
          <w:rFonts w:cs="Arial"/>
          <w:szCs w:val="24"/>
        </w:rPr>
        <w:t xml:space="preserve">  </w:t>
      </w:r>
    </w:p>
    <w:p w14:paraId="34BAB24C" w14:textId="77777777" w:rsidR="00CA1467" w:rsidRPr="004B4AE8" w:rsidRDefault="00CA1467" w:rsidP="00CA1467">
      <w:pPr>
        <w:rPr>
          <w:rFonts w:cs="Arial"/>
          <w:szCs w:val="24"/>
        </w:rPr>
      </w:pPr>
    </w:p>
    <w:p w14:paraId="34BAB24D" w14:textId="77777777" w:rsidR="00CA1467" w:rsidRPr="00DE7998" w:rsidRDefault="00CA1467" w:rsidP="00CA1467">
      <w:pPr>
        <w:rPr>
          <w:color w:val="0000FF"/>
        </w:rPr>
      </w:pPr>
    </w:p>
    <w:p w14:paraId="34BAB24E" w14:textId="77777777" w:rsidR="00CA1467" w:rsidRPr="001E3D0A" w:rsidRDefault="00031C54" w:rsidP="00CA1467">
      <w:pPr>
        <w:pStyle w:val="Heading2"/>
        <w:rPr>
          <w:sz w:val="32"/>
        </w:rPr>
      </w:pPr>
      <w:r>
        <w:rPr>
          <w:sz w:val="32"/>
        </w:rPr>
        <w:t xml:space="preserve">6. </w:t>
      </w:r>
      <w:r w:rsidRPr="001E3D0A">
        <w:rPr>
          <w:sz w:val="32"/>
        </w:rPr>
        <w:t>Implications of the Recommendation</w:t>
      </w:r>
    </w:p>
    <w:p w14:paraId="34BAB24F" w14:textId="77777777" w:rsidR="00CA1467" w:rsidRDefault="00CA1467" w:rsidP="00CA1467"/>
    <w:p w14:paraId="34BAB250" w14:textId="77777777" w:rsidR="00CA1467" w:rsidRPr="001E3D0A" w:rsidRDefault="00031C54" w:rsidP="00CA1467">
      <w:pPr>
        <w:autoSpaceDE w:val="0"/>
        <w:autoSpaceDN w:val="0"/>
        <w:adjustRightInd w:val="0"/>
        <w:rPr>
          <w:rFonts w:cs="Arial"/>
          <w:b/>
          <w:sz w:val="28"/>
          <w:szCs w:val="32"/>
          <w:lang w:eastAsia="en-GB"/>
        </w:rPr>
      </w:pPr>
      <w:r w:rsidRPr="001E3D0A">
        <w:rPr>
          <w:rFonts w:cs="Arial"/>
          <w:b/>
          <w:sz w:val="28"/>
          <w:szCs w:val="32"/>
          <w:lang w:eastAsia="en-GB"/>
        </w:rPr>
        <w:t>Resources</w:t>
      </w:r>
    </w:p>
    <w:p w14:paraId="34BAB251" w14:textId="77777777" w:rsidR="00CA1467" w:rsidRDefault="00CA1467" w:rsidP="00CA1467">
      <w:pPr>
        <w:autoSpaceDE w:val="0"/>
        <w:autoSpaceDN w:val="0"/>
        <w:adjustRightInd w:val="0"/>
        <w:rPr>
          <w:rFonts w:cs="Arial"/>
          <w:szCs w:val="24"/>
          <w:lang w:eastAsia="en-GB"/>
        </w:rPr>
      </w:pPr>
    </w:p>
    <w:p w14:paraId="34BAB252" w14:textId="77777777" w:rsidR="00CA1467" w:rsidRDefault="00031C54" w:rsidP="00CA1467">
      <w:pPr>
        <w:numPr>
          <w:ilvl w:val="2"/>
          <w:numId w:val="9"/>
        </w:numPr>
        <w:autoSpaceDE w:val="0"/>
        <w:autoSpaceDN w:val="0"/>
        <w:adjustRightInd w:val="0"/>
        <w:rPr>
          <w:rFonts w:cs="Arial"/>
          <w:szCs w:val="24"/>
          <w:lang w:eastAsia="en-GB"/>
        </w:rPr>
      </w:pPr>
      <w:r>
        <w:rPr>
          <w:rFonts w:cs="Arial"/>
          <w:szCs w:val="24"/>
          <w:lang w:eastAsia="en-GB"/>
        </w:rPr>
        <w:t>The administration of the Mandatory and Additional Licensing of Houses in Multiple Occupation schemes is currently managed by the Residential Licensing Team, with one specific officer involved.  Compliance visits to, and enforcement of, Houses in Multiple Occupation is conducted by the Residential Licensing Team and assisted by colleagues from the Domestic Environmental Health Team who are also responsible for all other private sector housing enforcement and environmental protection matters.</w:t>
      </w:r>
    </w:p>
    <w:p w14:paraId="34BAB253" w14:textId="77777777" w:rsidR="00CA1467" w:rsidRDefault="00CA1467" w:rsidP="00CA1467">
      <w:pPr>
        <w:autoSpaceDE w:val="0"/>
        <w:autoSpaceDN w:val="0"/>
        <w:adjustRightInd w:val="0"/>
        <w:ind w:left="720"/>
        <w:rPr>
          <w:rFonts w:cs="Arial"/>
          <w:szCs w:val="24"/>
          <w:lang w:eastAsia="en-GB"/>
        </w:rPr>
      </w:pPr>
    </w:p>
    <w:p w14:paraId="34BAB254" w14:textId="535426F6" w:rsidR="00CA1467" w:rsidRDefault="00031C54" w:rsidP="00CA1467">
      <w:pPr>
        <w:numPr>
          <w:ilvl w:val="2"/>
          <w:numId w:val="9"/>
        </w:numPr>
        <w:autoSpaceDE w:val="0"/>
        <w:autoSpaceDN w:val="0"/>
        <w:adjustRightInd w:val="0"/>
        <w:rPr>
          <w:rFonts w:cs="Arial"/>
          <w:szCs w:val="24"/>
          <w:lang w:eastAsia="en-GB"/>
        </w:rPr>
      </w:pPr>
      <w:r>
        <w:rPr>
          <w:rFonts w:cs="Arial"/>
          <w:szCs w:val="24"/>
          <w:lang w:eastAsia="en-GB"/>
        </w:rPr>
        <w:t xml:space="preserve">If the scheme </w:t>
      </w:r>
      <w:r w:rsidR="002B4DDB">
        <w:rPr>
          <w:rFonts w:cs="Arial"/>
          <w:szCs w:val="24"/>
          <w:lang w:eastAsia="en-GB"/>
        </w:rPr>
        <w:t>is re-introduced</w:t>
      </w:r>
      <w:r>
        <w:rPr>
          <w:rFonts w:cs="Arial"/>
          <w:szCs w:val="24"/>
          <w:lang w:eastAsia="en-GB"/>
        </w:rPr>
        <w:t xml:space="preserve">, we expect an </w:t>
      </w:r>
      <w:r w:rsidRPr="004B480D">
        <w:rPr>
          <w:rFonts w:cs="Arial"/>
          <w:szCs w:val="24"/>
          <w:lang w:eastAsia="en-GB"/>
        </w:rPr>
        <w:t>increase in applications</w:t>
      </w:r>
      <w:r>
        <w:rPr>
          <w:rFonts w:cs="Arial"/>
          <w:szCs w:val="24"/>
          <w:lang w:eastAsia="en-GB"/>
        </w:rPr>
        <w:t xml:space="preserve"> as the scheme is publicised</w:t>
      </w:r>
      <w:r w:rsidRPr="004B480D">
        <w:rPr>
          <w:rFonts w:cs="Arial"/>
          <w:szCs w:val="24"/>
          <w:lang w:eastAsia="en-GB"/>
        </w:rPr>
        <w:t xml:space="preserve">, especially in </w:t>
      </w:r>
      <w:r>
        <w:rPr>
          <w:rFonts w:cs="Arial"/>
          <w:szCs w:val="24"/>
          <w:lang w:eastAsia="en-GB"/>
        </w:rPr>
        <w:t>the first few months of the renewal. A</w:t>
      </w:r>
      <w:r w:rsidRPr="004B480D">
        <w:rPr>
          <w:rFonts w:cs="Arial"/>
          <w:szCs w:val="24"/>
          <w:lang w:eastAsia="en-GB"/>
        </w:rPr>
        <w:t>s well as initial licensing and compliance visits, further staffing resources will be required.  Detailed staffing and resources plans will be developed and will be subject to any necessary consultation with staff.  The costs of additional staffing will be met by the selective licensing fee</w:t>
      </w:r>
      <w:r>
        <w:rPr>
          <w:rFonts w:cs="Arial"/>
          <w:szCs w:val="24"/>
          <w:lang w:eastAsia="en-GB"/>
        </w:rPr>
        <w:t>.</w:t>
      </w:r>
      <w:r w:rsidRPr="004B480D">
        <w:rPr>
          <w:rFonts w:cs="Arial"/>
          <w:szCs w:val="24"/>
          <w:lang w:eastAsia="en-GB"/>
        </w:rPr>
        <w:t xml:space="preserve"> </w:t>
      </w:r>
    </w:p>
    <w:p w14:paraId="34BAB255" w14:textId="77777777" w:rsidR="00CA1467" w:rsidRDefault="00CA1467" w:rsidP="00CA1467">
      <w:pPr>
        <w:pStyle w:val="ListParagraph"/>
        <w:rPr>
          <w:rFonts w:cs="Arial"/>
          <w:szCs w:val="24"/>
        </w:rPr>
      </w:pPr>
    </w:p>
    <w:p w14:paraId="34BAB256" w14:textId="77777777" w:rsidR="00CA1467" w:rsidRDefault="00CA1467" w:rsidP="00CA1467">
      <w:pPr>
        <w:pStyle w:val="ListParagraph"/>
        <w:rPr>
          <w:rFonts w:cs="Arial"/>
          <w:szCs w:val="24"/>
        </w:rPr>
      </w:pPr>
    </w:p>
    <w:p w14:paraId="34BAB257" w14:textId="77777777" w:rsidR="00CA1467" w:rsidRPr="00B36E7B" w:rsidRDefault="00031C54" w:rsidP="00CA1467">
      <w:pPr>
        <w:pStyle w:val="Heading4"/>
        <w:tabs>
          <w:tab w:val="left" w:pos="3600"/>
        </w:tabs>
        <w:rPr>
          <w:sz w:val="28"/>
          <w:szCs w:val="28"/>
        </w:rPr>
      </w:pPr>
      <w:r w:rsidRPr="00B36E7B">
        <w:rPr>
          <w:sz w:val="28"/>
          <w:szCs w:val="28"/>
        </w:rPr>
        <w:t>Performance Issues</w:t>
      </w:r>
    </w:p>
    <w:p w14:paraId="34BAB258" w14:textId="77777777" w:rsidR="00CA1467" w:rsidRDefault="00CA1467" w:rsidP="00CA1467">
      <w:pPr>
        <w:pStyle w:val="ListParagraph"/>
        <w:ind w:left="0"/>
        <w:rPr>
          <w:rFonts w:cs="Arial"/>
          <w:szCs w:val="24"/>
        </w:rPr>
      </w:pPr>
    </w:p>
    <w:p w14:paraId="34BAB259" w14:textId="77777777" w:rsidR="00CA1467" w:rsidRDefault="00031C54" w:rsidP="00CA1467">
      <w:pPr>
        <w:numPr>
          <w:ilvl w:val="2"/>
          <w:numId w:val="9"/>
        </w:numPr>
        <w:autoSpaceDE w:val="0"/>
        <w:autoSpaceDN w:val="0"/>
        <w:adjustRightInd w:val="0"/>
        <w:rPr>
          <w:rFonts w:cs="Arial"/>
          <w:szCs w:val="24"/>
          <w:lang w:eastAsia="en-GB"/>
        </w:rPr>
      </w:pPr>
      <w:r>
        <w:rPr>
          <w:rFonts w:cs="Arial"/>
          <w:szCs w:val="24"/>
        </w:rPr>
        <w:t>Continuing to i</w:t>
      </w:r>
      <w:r w:rsidRPr="00DE3431">
        <w:rPr>
          <w:rFonts w:cs="Arial"/>
          <w:szCs w:val="24"/>
        </w:rPr>
        <w:t>mprov</w:t>
      </w:r>
      <w:r>
        <w:rPr>
          <w:rFonts w:cs="Arial"/>
          <w:szCs w:val="24"/>
        </w:rPr>
        <w:t>e</w:t>
      </w:r>
      <w:r w:rsidRPr="00DE3431">
        <w:rPr>
          <w:rFonts w:cs="Arial"/>
          <w:szCs w:val="24"/>
        </w:rPr>
        <w:t xml:space="preserve"> the private rented sector in </w:t>
      </w:r>
      <w:r w:rsidR="0081223E">
        <w:rPr>
          <w:rFonts w:cs="Arial"/>
          <w:szCs w:val="24"/>
        </w:rPr>
        <w:t>Wealdstone</w:t>
      </w:r>
      <w:r w:rsidRPr="00DE3431">
        <w:rPr>
          <w:rFonts w:cs="Arial"/>
          <w:szCs w:val="24"/>
        </w:rPr>
        <w:t xml:space="preserve"> will have a positive impact on helping make a difference to families, businesses and communities. It fits in with Harrow</w:t>
      </w:r>
      <w:r>
        <w:rPr>
          <w:rFonts w:cs="Arial"/>
          <w:szCs w:val="24"/>
        </w:rPr>
        <w:t>’s</w:t>
      </w:r>
      <w:r w:rsidRPr="00DE3431">
        <w:rPr>
          <w:rFonts w:cs="Arial"/>
          <w:szCs w:val="24"/>
        </w:rPr>
        <w:t xml:space="preserve"> Housing Strategy to provide good quality private sector housing locally, which recognises </w:t>
      </w:r>
      <w:r w:rsidRPr="00DE3431">
        <w:rPr>
          <w:rFonts w:cs="Arial"/>
          <w:szCs w:val="23"/>
          <w:lang w:eastAsia="en-GB"/>
        </w:rPr>
        <w:t>the contribution that a healthy private rented sector can make to the provision of housing solutions for those who cannot access home ownership or affordable housing.</w:t>
      </w:r>
    </w:p>
    <w:p w14:paraId="34BAB25A" w14:textId="77777777" w:rsidR="00CA1467" w:rsidRDefault="00CA1467" w:rsidP="00CA1467">
      <w:pPr>
        <w:autoSpaceDE w:val="0"/>
        <w:autoSpaceDN w:val="0"/>
        <w:adjustRightInd w:val="0"/>
        <w:ind w:left="720"/>
        <w:rPr>
          <w:rFonts w:cs="Arial"/>
          <w:szCs w:val="24"/>
          <w:lang w:eastAsia="en-GB"/>
        </w:rPr>
      </w:pPr>
    </w:p>
    <w:p w14:paraId="34BAB25B" w14:textId="77777777" w:rsidR="00CA1467" w:rsidRDefault="00031C54" w:rsidP="00CA1467">
      <w:pPr>
        <w:numPr>
          <w:ilvl w:val="2"/>
          <w:numId w:val="9"/>
        </w:numPr>
        <w:autoSpaceDE w:val="0"/>
        <w:autoSpaceDN w:val="0"/>
        <w:adjustRightInd w:val="0"/>
        <w:rPr>
          <w:rFonts w:cs="Arial"/>
          <w:szCs w:val="24"/>
          <w:lang w:eastAsia="en-GB"/>
        </w:rPr>
      </w:pPr>
      <w:r w:rsidRPr="00733490">
        <w:rPr>
          <w:rFonts w:cs="Arial"/>
          <w:szCs w:val="24"/>
          <w:lang w:eastAsia="en-GB"/>
        </w:rPr>
        <w:t xml:space="preserve">The process to consult with and </w:t>
      </w:r>
      <w:r>
        <w:rPr>
          <w:rFonts w:cs="Arial"/>
          <w:szCs w:val="24"/>
          <w:lang w:eastAsia="en-GB"/>
        </w:rPr>
        <w:t>continue</w:t>
      </w:r>
      <w:r w:rsidRPr="00733490">
        <w:rPr>
          <w:rFonts w:cs="Arial"/>
          <w:szCs w:val="24"/>
          <w:lang w:eastAsia="en-GB"/>
        </w:rPr>
        <w:t xml:space="preserve"> the selective licensing scheme has also enabled the identification of empty properties</w:t>
      </w:r>
      <w:r>
        <w:rPr>
          <w:rFonts w:cs="Arial"/>
          <w:szCs w:val="24"/>
          <w:lang w:eastAsia="en-GB"/>
        </w:rPr>
        <w:t>.</w:t>
      </w:r>
      <w:r w:rsidRPr="00733490">
        <w:rPr>
          <w:rFonts w:cs="Arial"/>
          <w:szCs w:val="24"/>
          <w:lang w:eastAsia="en-GB"/>
        </w:rPr>
        <w:t xml:space="preserve">  </w:t>
      </w:r>
      <w:r>
        <w:rPr>
          <w:rFonts w:cs="Arial"/>
          <w:szCs w:val="24"/>
          <w:lang w:eastAsia="en-GB"/>
        </w:rPr>
        <w:t>The Council can</w:t>
      </w:r>
      <w:r w:rsidRPr="00733490">
        <w:rPr>
          <w:rFonts w:cs="Arial"/>
          <w:sz w:val="23"/>
          <w:szCs w:val="23"/>
          <w:lang w:eastAsia="en-GB"/>
        </w:rPr>
        <w:t xml:space="preserve"> </w:t>
      </w:r>
      <w:r>
        <w:rPr>
          <w:rFonts w:cs="Arial"/>
          <w:szCs w:val="23"/>
          <w:lang w:eastAsia="en-GB"/>
        </w:rPr>
        <w:t>enable and encourage</w:t>
      </w:r>
      <w:r w:rsidRPr="00733490">
        <w:rPr>
          <w:rFonts w:cs="Arial"/>
          <w:szCs w:val="23"/>
          <w:lang w:eastAsia="en-GB"/>
        </w:rPr>
        <w:t xml:space="preserve"> property owners by offering a range of grants, funded with both external and council resources, to bring properties up to a standard suitable for letting. </w:t>
      </w:r>
      <w:r>
        <w:rPr>
          <w:rFonts w:cs="Arial"/>
          <w:szCs w:val="23"/>
          <w:lang w:eastAsia="en-GB"/>
        </w:rPr>
        <w:t>Selective Licensing will enable the environment that encourages the right responsible landlords, but with assistance to them to help with tenancies, to contribute to the area.</w:t>
      </w:r>
    </w:p>
    <w:p w14:paraId="34BAB25C" w14:textId="77777777" w:rsidR="00CA1467" w:rsidRDefault="00CA1467" w:rsidP="00CA1467">
      <w:pPr>
        <w:pStyle w:val="ListParagraph"/>
        <w:rPr>
          <w:rFonts w:cs="Arial"/>
          <w:szCs w:val="24"/>
          <w:lang w:eastAsia="en-GB"/>
        </w:rPr>
      </w:pPr>
    </w:p>
    <w:p w14:paraId="34BAB25D" w14:textId="77777777" w:rsidR="00CA1467" w:rsidRDefault="00031C54" w:rsidP="00CA1467">
      <w:pPr>
        <w:numPr>
          <w:ilvl w:val="2"/>
          <w:numId w:val="9"/>
        </w:numPr>
        <w:autoSpaceDE w:val="0"/>
        <w:autoSpaceDN w:val="0"/>
        <w:adjustRightInd w:val="0"/>
        <w:rPr>
          <w:rFonts w:cs="Arial"/>
          <w:szCs w:val="24"/>
          <w:lang w:eastAsia="en-GB"/>
        </w:rPr>
      </w:pPr>
      <w:r w:rsidRPr="00733490">
        <w:rPr>
          <w:rFonts w:cs="Arial"/>
          <w:szCs w:val="24"/>
          <w:lang w:eastAsia="en-GB"/>
        </w:rPr>
        <w:t xml:space="preserve">By </w:t>
      </w:r>
      <w:r>
        <w:rPr>
          <w:rFonts w:cs="Arial"/>
          <w:szCs w:val="24"/>
          <w:lang w:eastAsia="en-GB"/>
        </w:rPr>
        <w:t>continuing</w:t>
      </w:r>
      <w:r w:rsidRPr="00733490">
        <w:rPr>
          <w:rFonts w:cs="Arial"/>
          <w:szCs w:val="24"/>
          <w:lang w:eastAsia="en-GB"/>
        </w:rPr>
        <w:t xml:space="preserve"> the scheme, with clear conditions that must be met, </w:t>
      </w:r>
      <w:r>
        <w:rPr>
          <w:rFonts w:cs="Arial"/>
          <w:szCs w:val="24"/>
          <w:lang w:eastAsia="en-GB"/>
        </w:rPr>
        <w:t xml:space="preserve">the Council </w:t>
      </w:r>
      <w:r w:rsidRPr="00733490">
        <w:rPr>
          <w:rFonts w:cs="Arial"/>
          <w:szCs w:val="24"/>
          <w:lang w:eastAsia="en-GB"/>
        </w:rPr>
        <w:t>can assist and enable landlords and owners to achieve good standards</w:t>
      </w:r>
      <w:r>
        <w:rPr>
          <w:rFonts w:cs="Arial"/>
          <w:szCs w:val="24"/>
          <w:lang w:eastAsia="en-GB"/>
        </w:rPr>
        <w:t>, but</w:t>
      </w:r>
      <w:r w:rsidRPr="00733490">
        <w:rPr>
          <w:rFonts w:cs="Arial"/>
          <w:szCs w:val="24"/>
          <w:lang w:eastAsia="en-GB"/>
        </w:rPr>
        <w:t xml:space="preserve"> recognising</w:t>
      </w:r>
      <w:r>
        <w:rPr>
          <w:rFonts w:cs="Arial"/>
          <w:szCs w:val="24"/>
          <w:lang w:eastAsia="en-GB"/>
        </w:rPr>
        <w:t xml:space="preserve"> that it will be easier to target and achieve compliance with those landlords who seek to provide sub-standard accommodation.  This will hopefully provide more suitable </w:t>
      </w:r>
      <w:r>
        <w:rPr>
          <w:rFonts w:cs="Arial"/>
          <w:szCs w:val="24"/>
          <w:lang w:eastAsia="en-GB"/>
        </w:rPr>
        <w:lastRenderedPageBreak/>
        <w:t>accommodation that the Council could also use for the purpose of housing homeless, knowing that minimum standards are ensured.</w:t>
      </w:r>
    </w:p>
    <w:p w14:paraId="34BAB25E" w14:textId="77777777" w:rsidR="00CA1467" w:rsidRDefault="00CA1467" w:rsidP="00CA1467">
      <w:pPr>
        <w:pStyle w:val="ListParagraph"/>
        <w:rPr>
          <w:rFonts w:cs="Arial"/>
          <w:szCs w:val="24"/>
          <w:lang w:eastAsia="en-GB"/>
        </w:rPr>
      </w:pPr>
    </w:p>
    <w:p w14:paraId="34BAB25F" w14:textId="77777777" w:rsidR="00CA1467" w:rsidRDefault="00031C54" w:rsidP="00CA1467">
      <w:pPr>
        <w:numPr>
          <w:ilvl w:val="2"/>
          <w:numId w:val="9"/>
        </w:numPr>
        <w:autoSpaceDE w:val="0"/>
        <w:autoSpaceDN w:val="0"/>
        <w:adjustRightInd w:val="0"/>
        <w:rPr>
          <w:rFonts w:cs="Arial"/>
          <w:szCs w:val="24"/>
          <w:lang w:eastAsia="en-GB"/>
        </w:rPr>
      </w:pPr>
      <w:r>
        <w:rPr>
          <w:rFonts w:cs="Arial"/>
          <w:szCs w:val="24"/>
          <w:lang w:eastAsia="en-GB"/>
        </w:rPr>
        <w:t xml:space="preserve">The continuation of Selective Licensing also ties in with the Council’s Private Sector Housing Strategy for </w:t>
      </w:r>
      <w:r w:rsidRPr="00E32ADC">
        <w:rPr>
          <w:rFonts w:cs="Arial"/>
          <w:b/>
          <w:bCs/>
          <w:szCs w:val="24"/>
          <w:lang w:eastAsia="en-GB"/>
        </w:rPr>
        <w:t>201</w:t>
      </w:r>
      <w:r>
        <w:rPr>
          <w:rFonts w:cs="Arial"/>
          <w:b/>
          <w:bCs/>
          <w:szCs w:val="24"/>
          <w:lang w:eastAsia="en-GB"/>
        </w:rPr>
        <w:t>9</w:t>
      </w:r>
      <w:r w:rsidRPr="00E32ADC">
        <w:rPr>
          <w:rFonts w:cs="Arial"/>
          <w:b/>
          <w:bCs/>
          <w:szCs w:val="24"/>
          <w:lang w:eastAsia="en-GB"/>
        </w:rPr>
        <w:t>-20</w:t>
      </w:r>
      <w:r>
        <w:rPr>
          <w:rFonts w:cs="Arial"/>
          <w:b/>
          <w:bCs/>
          <w:szCs w:val="24"/>
          <w:lang w:eastAsia="en-GB"/>
        </w:rPr>
        <w:t>24</w:t>
      </w:r>
      <w:r>
        <w:rPr>
          <w:rFonts w:cs="Arial"/>
          <w:szCs w:val="24"/>
          <w:lang w:eastAsia="en-GB"/>
        </w:rPr>
        <w:t>, using additional powers to address areas where private sector housing can be seen to contribute to issues faced in the community and need addressing.  It is to work with good landlords to provide them the environment where these properties will be successful and can be managed successfully.</w:t>
      </w:r>
    </w:p>
    <w:p w14:paraId="34BAB260" w14:textId="77777777" w:rsidR="00CA1467" w:rsidRDefault="00CA1467" w:rsidP="00CA1467">
      <w:pPr>
        <w:pStyle w:val="ListParagraph"/>
        <w:rPr>
          <w:rFonts w:cs="Arial"/>
          <w:szCs w:val="23"/>
          <w:lang w:eastAsia="en-GB"/>
        </w:rPr>
      </w:pPr>
    </w:p>
    <w:p w14:paraId="34BAB261" w14:textId="77777777" w:rsidR="00CA1467" w:rsidRDefault="00031C54" w:rsidP="00CA1467">
      <w:pPr>
        <w:numPr>
          <w:ilvl w:val="2"/>
          <w:numId w:val="9"/>
        </w:numPr>
        <w:autoSpaceDE w:val="0"/>
        <w:autoSpaceDN w:val="0"/>
        <w:adjustRightInd w:val="0"/>
        <w:rPr>
          <w:rFonts w:cs="Arial"/>
          <w:szCs w:val="24"/>
          <w:lang w:eastAsia="en-GB"/>
        </w:rPr>
      </w:pPr>
      <w:r>
        <w:rPr>
          <w:rFonts w:cs="Arial"/>
          <w:szCs w:val="23"/>
          <w:lang w:eastAsia="en-GB"/>
        </w:rPr>
        <w:t xml:space="preserve">With strategy and with the continuation of such scheme, </w:t>
      </w:r>
      <w:r w:rsidRPr="004603E1">
        <w:rPr>
          <w:rFonts w:cs="Arial"/>
          <w:szCs w:val="23"/>
          <w:lang w:eastAsia="en-GB"/>
        </w:rPr>
        <w:t xml:space="preserve">Harrow Council believes that, through investment in private sector housing and by ensuring that good standards are maintained, wider benefits for the residents of Harrow will be delivered. </w:t>
      </w:r>
    </w:p>
    <w:p w14:paraId="34BAB262" w14:textId="77777777" w:rsidR="00CA1467" w:rsidRPr="004603E1" w:rsidRDefault="00CA1467" w:rsidP="00CA1467">
      <w:pPr>
        <w:pStyle w:val="ListParagraph"/>
        <w:rPr>
          <w:rFonts w:cs="Arial"/>
          <w:szCs w:val="23"/>
          <w:lang w:eastAsia="en-GB"/>
        </w:rPr>
      </w:pPr>
    </w:p>
    <w:p w14:paraId="34BAB263" w14:textId="77777777" w:rsidR="00CA1467" w:rsidRDefault="00031C54" w:rsidP="00CA1467">
      <w:pPr>
        <w:numPr>
          <w:ilvl w:val="2"/>
          <w:numId w:val="9"/>
        </w:numPr>
        <w:autoSpaceDE w:val="0"/>
        <w:autoSpaceDN w:val="0"/>
        <w:adjustRightInd w:val="0"/>
        <w:rPr>
          <w:rFonts w:cs="Arial"/>
          <w:sz w:val="28"/>
          <w:szCs w:val="24"/>
          <w:lang w:eastAsia="en-GB"/>
        </w:rPr>
      </w:pPr>
      <w:r w:rsidRPr="004603E1">
        <w:rPr>
          <w:rFonts w:cs="Arial"/>
          <w:szCs w:val="23"/>
          <w:lang w:eastAsia="en-GB"/>
        </w:rPr>
        <w:t>In view of the Council’s limited resources, the Private Sector Housing Strategy focus</w:t>
      </w:r>
      <w:r>
        <w:rPr>
          <w:rFonts w:cs="Arial"/>
          <w:szCs w:val="23"/>
          <w:lang w:eastAsia="en-GB"/>
        </w:rPr>
        <w:t>es</w:t>
      </w:r>
      <w:r w:rsidRPr="004603E1">
        <w:rPr>
          <w:rFonts w:cs="Arial"/>
          <w:szCs w:val="23"/>
          <w:lang w:eastAsia="en-GB"/>
        </w:rPr>
        <w:t xml:space="preserve"> on what can be done to encourage and facilitate the continued provision of a good quality private housing sector, including private rented housing. This will be achieved by working in partnership with other boroughs, landlords, developers and private tenants and residents, whilst using available</w:t>
      </w:r>
      <w:r>
        <w:rPr>
          <w:rFonts w:cs="Arial"/>
          <w:szCs w:val="23"/>
          <w:lang w:eastAsia="en-GB"/>
        </w:rPr>
        <w:t xml:space="preserve"> </w:t>
      </w:r>
      <w:r w:rsidRPr="004603E1">
        <w:rPr>
          <w:rFonts w:cs="Arial"/>
          <w:szCs w:val="23"/>
          <w:lang w:eastAsia="en-GB"/>
        </w:rPr>
        <w:t>enforcement resources to tackle the worst conditions in the sector.</w:t>
      </w:r>
      <w:r w:rsidRPr="004603E1">
        <w:rPr>
          <w:rFonts w:cs="Arial"/>
          <w:sz w:val="28"/>
          <w:szCs w:val="24"/>
          <w:lang w:eastAsia="en-GB"/>
        </w:rPr>
        <w:t xml:space="preserve"> </w:t>
      </w:r>
      <w:r>
        <w:rPr>
          <w:rFonts w:cs="Arial"/>
          <w:szCs w:val="24"/>
          <w:lang w:eastAsia="en-GB"/>
        </w:rPr>
        <w:t>Selective Licensing builds on and encourages this process and allow a sustainable approach.</w:t>
      </w:r>
    </w:p>
    <w:p w14:paraId="34BAB264" w14:textId="77777777" w:rsidR="00CA1467" w:rsidRDefault="00CA1467" w:rsidP="00CA1467">
      <w:pPr>
        <w:pStyle w:val="ListParagraph"/>
        <w:rPr>
          <w:rFonts w:cs="Arial"/>
          <w:szCs w:val="24"/>
        </w:rPr>
      </w:pPr>
    </w:p>
    <w:p w14:paraId="34BAB265" w14:textId="77777777" w:rsidR="00CA1467" w:rsidRPr="004603E1" w:rsidRDefault="00031C54" w:rsidP="00CA1467">
      <w:pPr>
        <w:numPr>
          <w:ilvl w:val="2"/>
          <w:numId w:val="9"/>
        </w:numPr>
        <w:autoSpaceDE w:val="0"/>
        <w:autoSpaceDN w:val="0"/>
        <w:adjustRightInd w:val="0"/>
        <w:rPr>
          <w:rFonts w:cs="Arial"/>
          <w:sz w:val="28"/>
          <w:szCs w:val="24"/>
          <w:lang w:eastAsia="en-GB"/>
        </w:rPr>
      </w:pPr>
      <w:r w:rsidRPr="004603E1">
        <w:rPr>
          <w:rFonts w:cs="Arial"/>
          <w:szCs w:val="24"/>
        </w:rPr>
        <w:t xml:space="preserve">The </w:t>
      </w:r>
      <w:r>
        <w:rPr>
          <w:rFonts w:cs="Arial"/>
          <w:szCs w:val="24"/>
        </w:rPr>
        <w:t>continuation</w:t>
      </w:r>
      <w:r w:rsidRPr="004603E1">
        <w:rPr>
          <w:rFonts w:cs="Arial"/>
          <w:szCs w:val="24"/>
        </w:rPr>
        <w:t xml:space="preserve"> of Selective Licensing</w:t>
      </w:r>
      <w:r>
        <w:rPr>
          <w:rFonts w:cs="Arial"/>
          <w:szCs w:val="24"/>
        </w:rPr>
        <w:t xml:space="preserve"> Scheme</w:t>
      </w:r>
      <w:r w:rsidRPr="004603E1">
        <w:rPr>
          <w:rFonts w:cs="Arial"/>
          <w:szCs w:val="24"/>
        </w:rPr>
        <w:t xml:space="preserve"> will make a difference to the community within </w:t>
      </w:r>
      <w:r w:rsidR="0081223E">
        <w:rPr>
          <w:rFonts w:cs="Arial"/>
          <w:szCs w:val="24"/>
        </w:rPr>
        <w:t>Wealdstone</w:t>
      </w:r>
      <w:r w:rsidRPr="004603E1">
        <w:rPr>
          <w:rFonts w:cs="Arial"/>
          <w:szCs w:val="24"/>
        </w:rPr>
        <w:t>, by directly influencing the ASB, property standards and environmental issues affecting the area.</w:t>
      </w:r>
      <w:r>
        <w:rPr>
          <w:rFonts w:cs="Arial"/>
          <w:sz w:val="28"/>
          <w:szCs w:val="24"/>
          <w:lang w:eastAsia="en-GB"/>
        </w:rPr>
        <w:t xml:space="preserve"> </w:t>
      </w:r>
      <w:r w:rsidRPr="004603E1">
        <w:rPr>
          <w:rFonts w:cs="Arial"/>
          <w:szCs w:val="24"/>
        </w:rPr>
        <w:t xml:space="preserve">It will introduce </w:t>
      </w:r>
      <w:r>
        <w:rPr>
          <w:rFonts w:cs="Arial"/>
          <w:szCs w:val="24"/>
        </w:rPr>
        <w:t xml:space="preserve">new </w:t>
      </w:r>
      <w:r w:rsidRPr="004603E1">
        <w:rPr>
          <w:rFonts w:cs="Arial"/>
          <w:szCs w:val="24"/>
        </w:rPr>
        <w:t xml:space="preserve">conditions that the private rented sector will have to meet to ensure that their properties and </w:t>
      </w:r>
      <w:r>
        <w:rPr>
          <w:rFonts w:cs="Arial"/>
          <w:szCs w:val="24"/>
        </w:rPr>
        <w:t>maintained and managed properly. This will encourage a sustainable private rented sector market.</w:t>
      </w:r>
    </w:p>
    <w:p w14:paraId="34BAB266" w14:textId="77777777" w:rsidR="00CA1467" w:rsidRDefault="00CA1467" w:rsidP="00CA1467">
      <w:pPr>
        <w:pStyle w:val="ListParagraph"/>
        <w:rPr>
          <w:rFonts w:cs="Arial"/>
          <w:sz w:val="28"/>
          <w:szCs w:val="24"/>
          <w:lang w:eastAsia="en-GB"/>
        </w:rPr>
      </w:pPr>
    </w:p>
    <w:p w14:paraId="34BAB267" w14:textId="77777777" w:rsidR="00CA1467" w:rsidRDefault="00031C54" w:rsidP="00CA1467">
      <w:pPr>
        <w:numPr>
          <w:ilvl w:val="2"/>
          <w:numId w:val="9"/>
        </w:numPr>
        <w:autoSpaceDE w:val="0"/>
        <w:autoSpaceDN w:val="0"/>
        <w:adjustRightInd w:val="0"/>
        <w:rPr>
          <w:rFonts w:cs="Arial"/>
          <w:szCs w:val="24"/>
        </w:rPr>
      </w:pPr>
      <w:r w:rsidRPr="004603E1">
        <w:rPr>
          <w:rFonts w:cs="Arial"/>
          <w:szCs w:val="24"/>
          <w:lang w:eastAsia="en-GB"/>
        </w:rPr>
        <w:t xml:space="preserve">If the scheme is not </w:t>
      </w:r>
      <w:r>
        <w:rPr>
          <w:rFonts w:cs="Arial"/>
          <w:szCs w:val="24"/>
          <w:lang w:eastAsia="en-GB"/>
        </w:rPr>
        <w:t>renewed</w:t>
      </w:r>
      <w:r w:rsidRPr="004603E1">
        <w:rPr>
          <w:rFonts w:cs="Arial"/>
          <w:szCs w:val="24"/>
          <w:lang w:eastAsia="en-GB"/>
        </w:rPr>
        <w:t xml:space="preserve">, then it will limit the options the Council has to make change across an area, with resources being focused on individual problem premises and people and not </w:t>
      </w:r>
      <w:r>
        <w:rPr>
          <w:rFonts w:cs="Arial"/>
          <w:szCs w:val="24"/>
          <w:lang w:eastAsia="en-GB"/>
        </w:rPr>
        <w:t xml:space="preserve">being able </w:t>
      </w:r>
      <w:r w:rsidRPr="004603E1">
        <w:rPr>
          <w:rFonts w:cs="Arial"/>
          <w:szCs w:val="24"/>
          <w:lang w:eastAsia="en-GB"/>
        </w:rPr>
        <w:t xml:space="preserve">addressing the wider issues.  </w:t>
      </w:r>
    </w:p>
    <w:p w14:paraId="34BAB268" w14:textId="77777777" w:rsidR="00CA1467" w:rsidRDefault="00CA1467" w:rsidP="00CA1467">
      <w:pPr>
        <w:pStyle w:val="ListParagraph"/>
        <w:rPr>
          <w:rFonts w:cs="Arial"/>
          <w:szCs w:val="24"/>
        </w:rPr>
      </w:pPr>
    </w:p>
    <w:p w14:paraId="34BAB269" w14:textId="77777777" w:rsidR="00CA1467" w:rsidRPr="00B36E7B" w:rsidRDefault="00031C54" w:rsidP="00CA1467">
      <w:pPr>
        <w:pStyle w:val="Heading4"/>
        <w:tabs>
          <w:tab w:val="left" w:pos="3600"/>
        </w:tabs>
        <w:rPr>
          <w:sz w:val="28"/>
          <w:szCs w:val="28"/>
        </w:rPr>
      </w:pPr>
      <w:r w:rsidRPr="00B36E7B">
        <w:rPr>
          <w:sz w:val="28"/>
          <w:szCs w:val="28"/>
        </w:rPr>
        <w:t>Environmental Implications</w:t>
      </w:r>
    </w:p>
    <w:p w14:paraId="34BAB26A" w14:textId="77777777" w:rsidR="00CA1467" w:rsidRDefault="00CA1467" w:rsidP="00CA1467">
      <w:pPr>
        <w:pStyle w:val="ListParagraph"/>
        <w:rPr>
          <w:rFonts w:cs="Arial"/>
          <w:szCs w:val="24"/>
        </w:rPr>
      </w:pPr>
    </w:p>
    <w:p w14:paraId="34BAB26B" w14:textId="77777777" w:rsidR="00CA1467" w:rsidRDefault="00031C54" w:rsidP="00CA1467">
      <w:pPr>
        <w:numPr>
          <w:ilvl w:val="2"/>
          <w:numId w:val="9"/>
        </w:numPr>
        <w:autoSpaceDE w:val="0"/>
        <w:autoSpaceDN w:val="0"/>
        <w:adjustRightInd w:val="0"/>
        <w:rPr>
          <w:rFonts w:cs="Arial"/>
          <w:szCs w:val="24"/>
        </w:rPr>
      </w:pPr>
      <w:r w:rsidRPr="00133A37">
        <w:rPr>
          <w:rFonts w:cs="Arial"/>
          <w:szCs w:val="24"/>
        </w:rPr>
        <w:t xml:space="preserve">The renewal of the scheme allows conditions to be put against rented accommodation in a designated area.  These conditions include those that directly relate to environmental matters, for instance in the aspect of refuse storage, and ensure that all parties connected to private residential properties play their part in improving the area they reside in.  </w:t>
      </w:r>
    </w:p>
    <w:p w14:paraId="34BAB26C" w14:textId="77777777" w:rsidR="00CA1467" w:rsidRDefault="00CA1467" w:rsidP="00CA1467">
      <w:pPr>
        <w:autoSpaceDE w:val="0"/>
        <w:autoSpaceDN w:val="0"/>
        <w:adjustRightInd w:val="0"/>
        <w:rPr>
          <w:rFonts w:cs="Arial"/>
          <w:szCs w:val="24"/>
        </w:rPr>
      </w:pPr>
    </w:p>
    <w:p w14:paraId="34BAB26D" w14:textId="77777777" w:rsidR="00CA1467" w:rsidRPr="00133A37" w:rsidRDefault="00031C54" w:rsidP="00CA1467">
      <w:pPr>
        <w:numPr>
          <w:ilvl w:val="2"/>
          <w:numId w:val="9"/>
        </w:numPr>
        <w:autoSpaceDE w:val="0"/>
        <w:autoSpaceDN w:val="0"/>
        <w:adjustRightInd w:val="0"/>
        <w:rPr>
          <w:rFonts w:cs="Arial"/>
          <w:szCs w:val="24"/>
        </w:rPr>
      </w:pPr>
      <w:r>
        <w:rPr>
          <w:rFonts w:cs="Arial"/>
          <w:szCs w:val="24"/>
        </w:rPr>
        <w:t>Therefore, such a scheme will aid in protecting the environment and having a positive impact.</w:t>
      </w:r>
    </w:p>
    <w:p w14:paraId="34BAB26E" w14:textId="77777777" w:rsidR="00CA1467" w:rsidRDefault="00CA1467" w:rsidP="00CA1467">
      <w:pPr>
        <w:pStyle w:val="ListParagraph"/>
        <w:rPr>
          <w:rFonts w:cs="Arial"/>
          <w:szCs w:val="24"/>
        </w:rPr>
      </w:pPr>
    </w:p>
    <w:p w14:paraId="34BAB26F" w14:textId="77777777" w:rsidR="00CA1467" w:rsidRDefault="00CA1467" w:rsidP="00CA1467">
      <w:pPr>
        <w:pStyle w:val="ListParagraph"/>
        <w:rPr>
          <w:rFonts w:cs="Arial"/>
          <w:szCs w:val="24"/>
        </w:rPr>
      </w:pPr>
    </w:p>
    <w:p w14:paraId="6740968E" w14:textId="77777777" w:rsidR="0039170C" w:rsidRDefault="0039170C">
      <w:pPr>
        <w:rPr>
          <w:rFonts w:cs="Arial"/>
          <w:b/>
          <w:sz w:val="28"/>
          <w:szCs w:val="28"/>
        </w:rPr>
      </w:pPr>
      <w:r>
        <w:rPr>
          <w:sz w:val="28"/>
          <w:szCs w:val="28"/>
        </w:rPr>
        <w:br w:type="page"/>
      </w:r>
    </w:p>
    <w:p w14:paraId="34BAB270" w14:textId="4096762E" w:rsidR="00CA1467" w:rsidRPr="00273B9B" w:rsidRDefault="00031C54" w:rsidP="00CA1467">
      <w:pPr>
        <w:pStyle w:val="Heading4"/>
        <w:tabs>
          <w:tab w:val="left" w:pos="3600"/>
        </w:tabs>
        <w:rPr>
          <w:sz w:val="28"/>
          <w:szCs w:val="28"/>
        </w:rPr>
      </w:pPr>
      <w:r w:rsidRPr="00273B9B">
        <w:rPr>
          <w:sz w:val="28"/>
          <w:szCs w:val="28"/>
        </w:rPr>
        <w:t>Risk Management Implications</w:t>
      </w:r>
    </w:p>
    <w:p w14:paraId="34BAB271" w14:textId="77777777" w:rsidR="00CA1467" w:rsidRDefault="00CA1467" w:rsidP="00CA1467">
      <w:pPr>
        <w:pStyle w:val="ListParagraph"/>
        <w:rPr>
          <w:rFonts w:cs="Arial"/>
          <w:szCs w:val="24"/>
        </w:rPr>
      </w:pPr>
    </w:p>
    <w:p w14:paraId="34BAB272" w14:textId="77777777" w:rsidR="00CA1467" w:rsidRDefault="00031C54" w:rsidP="00CA1467">
      <w:pPr>
        <w:tabs>
          <w:tab w:val="left" w:pos="5610"/>
        </w:tabs>
        <w:ind w:right="81" w:hanging="567"/>
      </w:pPr>
      <w:r>
        <w:rPr>
          <w:rFonts w:cs="Arial"/>
          <w:szCs w:val="24"/>
          <w:lang w:val="en-US"/>
        </w:rPr>
        <w:lastRenderedPageBreak/>
        <w:tab/>
        <w:t xml:space="preserve">6.13       Risks included on corporate or directorate risk register? </w:t>
      </w:r>
      <w:r>
        <w:rPr>
          <w:rFonts w:cs="Arial"/>
          <w:b/>
          <w:bCs/>
          <w:szCs w:val="24"/>
          <w:lang w:val="en-US"/>
        </w:rPr>
        <w:t>No</w:t>
      </w:r>
    </w:p>
    <w:p w14:paraId="34BAB273" w14:textId="77777777" w:rsidR="00CA1467" w:rsidRDefault="00CA1467" w:rsidP="00CA1467">
      <w:pPr>
        <w:ind w:right="141"/>
        <w:rPr>
          <w:rFonts w:cs="Arial"/>
          <w:szCs w:val="24"/>
          <w:lang w:val="en-US" w:eastAsia="en-GB"/>
        </w:rPr>
      </w:pPr>
    </w:p>
    <w:p w14:paraId="34BAB274" w14:textId="77777777" w:rsidR="00CA1467" w:rsidRPr="00B1377E" w:rsidRDefault="00031C54" w:rsidP="00CA1467">
      <w:pPr>
        <w:ind w:right="141"/>
        <w:rPr>
          <w:rFonts w:cs="Arial"/>
          <w:szCs w:val="24"/>
          <w:lang w:val="en-US" w:eastAsia="en-GB"/>
        </w:rPr>
      </w:pPr>
      <w:r>
        <w:rPr>
          <w:rFonts w:cs="Arial"/>
          <w:szCs w:val="24"/>
          <w:lang w:val="en-US" w:eastAsia="en-GB"/>
        </w:rPr>
        <w:t xml:space="preserve">6.14       Separate risk register in place? </w:t>
      </w:r>
      <w:r>
        <w:rPr>
          <w:rFonts w:cs="Arial"/>
          <w:b/>
          <w:bCs/>
          <w:szCs w:val="24"/>
          <w:lang w:val="en-US" w:eastAsia="en-GB"/>
        </w:rPr>
        <w:t>No</w:t>
      </w:r>
      <w:r>
        <w:rPr>
          <w:rFonts w:cs="Arial"/>
          <w:szCs w:val="24"/>
          <w:lang w:val="en-US" w:eastAsia="en-GB"/>
        </w:rPr>
        <w:t xml:space="preserve"> </w:t>
      </w:r>
    </w:p>
    <w:p w14:paraId="34BAB275" w14:textId="77777777" w:rsidR="00CA1467" w:rsidRDefault="00CA1467" w:rsidP="00CA1467">
      <w:pPr>
        <w:tabs>
          <w:tab w:val="left" w:pos="5610"/>
        </w:tabs>
        <w:ind w:right="81" w:hanging="567"/>
      </w:pPr>
    </w:p>
    <w:p w14:paraId="34BAB277" w14:textId="37AC9D40" w:rsidR="00CA1467" w:rsidRPr="00085681" w:rsidRDefault="00031C54" w:rsidP="0039170C">
      <w:pPr>
        <w:tabs>
          <w:tab w:val="left" w:pos="851"/>
          <w:tab w:val="left" w:pos="5610"/>
        </w:tabs>
        <w:ind w:left="851" w:right="81" w:hanging="851"/>
        <w:rPr>
          <w:color w:val="FF0000"/>
        </w:rPr>
      </w:pPr>
      <w:r>
        <w:t>6.15</w:t>
      </w:r>
      <w:r w:rsidR="0039170C">
        <w:tab/>
      </w:r>
      <w:r>
        <w:t xml:space="preserve">The relevant risks </w:t>
      </w:r>
      <w:r w:rsidRPr="004B0B0A">
        <w:rPr>
          <w:color w:val="000000"/>
        </w:rPr>
        <w:t xml:space="preserve">from the risk register </w:t>
      </w:r>
      <w:r>
        <w:t>are attached/summarised</w:t>
      </w:r>
      <w:r w:rsidR="0039170C">
        <w:t xml:space="preserve"> </w:t>
      </w:r>
      <w:r>
        <w:t xml:space="preserve"> below. </w:t>
      </w:r>
      <w:r w:rsidRPr="00085681">
        <w:rPr>
          <w:rFonts w:cs="Arial"/>
          <w:b/>
          <w:bCs/>
          <w:color w:val="FF0000"/>
          <w:szCs w:val="24"/>
          <w:lang w:val="en-US" w:eastAsia="en-GB"/>
        </w:rPr>
        <w:t>N/A</w:t>
      </w:r>
    </w:p>
    <w:p w14:paraId="34BAB278" w14:textId="77777777" w:rsidR="00CA1467" w:rsidRPr="004B0B0A" w:rsidRDefault="00CA1467" w:rsidP="00CA1467">
      <w:pPr>
        <w:ind w:left="-567"/>
        <w:rPr>
          <w:color w:val="4472C4"/>
        </w:rPr>
      </w:pPr>
    </w:p>
    <w:p w14:paraId="34BAB279" w14:textId="77777777" w:rsidR="00CA1467" w:rsidRPr="00F16E18" w:rsidRDefault="00031C54" w:rsidP="00CA1467">
      <w:pPr>
        <w:ind w:left="851" w:hanging="851"/>
        <w:jc w:val="both"/>
      </w:pPr>
      <w:r>
        <w:t xml:space="preserve">6.16     </w:t>
      </w:r>
      <w:r w:rsidRPr="00F16E18">
        <w:t>The following key risks should be taken onto account when agreeing the recommendations in this report:</w:t>
      </w:r>
    </w:p>
    <w:p w14:paraId="34BAB27A" w14:textId="77777777" w:rsidR="00CA1467" w:rsidRDefault="00CA1467" w:rsidP="00CA1467">
      <w:pPr>
        <w:ind w:right="141" w:hanging="567"/>
        <w:rPr>
          <w:rFonts w:cs="Arial"/>
          <w:szCs w:val="24"/>
          <w:lang w:val="en-US" w:eastAsia="en-GB"/>
        </w:rPr>
      </w:pPr>
    </w:p>
    <w:p w14:paraId="34BAB27B" w14:textId="77777777" w:rsidR="00CA1467" w:rsidRDefault="00CA1467" w:rsidP="00CA1467">
      <w:pPr>
        <w:ind w:right="141" w:hanging="567"/>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3383"/>
        <w:gridCol w:w="4794"/>
        <w:gridCol w:w="895"/>
      </w:tblGrid>
      <w:tr w:rsidR="00B766D8" w14:paraId="34BAB27F" w14:textId="77777777" w:rsidTr="00A64C6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AB27C" w14:textId="77777777" w:rsidR="00CA1467" w:rsidRPr="00E1783F" w:rsidRDefault="00031C54" w:rsidP="00A64C6D">
            <w:pPr>
              <w:ind w:right="141"/>
              <w:rPr>
                <w:rFonts w:cs="Arial"/>
                <w:b/>
                <w:bCs/>
                <w:sz w:val="22"/>
                <w:szCs w:val="22"/>
                <w:lang w:val="en-US" w:eastAsia="en-GB"/>
              </w:rPr>
            </w:pPr>
            <w:r w:rsidRPr="00E1783F">
              <w:rPr>
                <w:rFonts w:cs="Arial"/>
                <w:b/>
                <w:bCs/>
                <w:sz w:val="22"/>
                <w:szCs w:val="22"/>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AB27D" w14:textId="77777777" w:rsidR="00CA1467" w:rsidRPr="00E1783F" w:rsidRDefault="00031C54" w:rsidP="00A64C6D">
            <w:pPr>
              <w:ind w:right="141"/>
              <w:rPr>
                <w:rFonts w:cs="Arial"/>
                <w:b/>
                <w:bCs/>
                <w:sz w:val="22"/>
                <w:szCs w:val="22"/>
                <w:lang w:val="en-US" w:eastAsia="en-GB"/>
              </w:rPr>
            </w:pPr>
            <w:r w:rsidRPr="00E1783F">
              <w:rPr>
                <w:rFonts w:cs="Arial"/>
                <w:b/>
                <w:bCs/>
                <w:sz w:val="22"/>
                <w:szCs w:val="22"/>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BAB27E" w14:textId="77777777" w:rsidR="00CA1467" w:rsidRPr="00E1783F" w:rsidRDefault="00031C54" w:rsidP="00A64C6D">
            <w:pPr>
              <w:ind w:right="141"/>
              <w:jc w:val="center"/>
              <w:rPr>
                <w:rFonts w:cs="Arial"/>
                <w:b/>
                <w:bCs/>
                <w:sz w:val="22"/>
                <w:szCs w:val="22"/>
                <w:lang w:val="en-US" w:eastAsia="en-GB"/>
              </w:rPr>
            </w:pPr>
            <w:r w:rsidRPr="00E1783F">
              <w:rPr>
                <w:rFonts w:cs="Arial"/>
                <w:b/>
                <w:bCs/>
                <w:sz w:val="22"/>
                <w:szCs w:val="22"/>
                <w:lang w:val="en-US" w:eastAsia="en-GB"/>
              </w:rPr>
              <w:t xml:space="preserve">RAG Status </w:t>
            </w:r>
          </w:p>
        </w:tc>
      </w:tr>
      <w:tr w:rsidR="00B766D8" w14:paraId="34BAB285" w14:textId="77777777" w:rsidTr="00A64C6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80" w14:textId="77777777" w:rsidR="00CA1467" w:rsidRPr="00E1783F" w:rsidRDefault="00031C54" w:rsidP="00A64C6D">
            <w:pPr>
              <w:ind w:right="141"/>
              <w:rPr>
                <w:rFonts w:cs="Arial"/>
                <w:sz w:val="22"/>
                <w:szCs w:val="22"/>
                <w:lang w:val="en-US" w:eastAsia="en-GB"/>
              </w:rPr>
            </w:pPr>
            <w:r w:rsidRPr="00E1783F">
              <w:rPr>
                <w:rFonts w:cs="Arial"/>
                <w:sz w:val="22"/>
                <w:szCs w:val="22"/>
                <w:lang w:val="en-US" w:eastAsia="en-GB"/>
              </w:rPr>
              <w:t xml:space="preserve">Bad publicity due to </w:t>
            </w:r>
            <w:r>
              <w:rPr>
                <w:rFonts w:cs="Arial"/>
                <w:sz w:val="22"/>
                <w:szCs w:val="22"/>
                <w:lang w:val="en-US" w:eastAsia="en-GB"/>
              </w:rPr>
              <w:t>being seen as a tax on landlords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81"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Evidence based approach to show need in this area, directly linked to conditions placed on the </w:t>
            </w:r>
            <w:proofErr w:type="spellStart"/>
            <w:r>
              <w:rPr>
                <w:rFonts w:cs="Arial"/>
                <w:sz w:val="22"/>
                <w:szCs w:val="22"/>
                <w:lang w:val="en-US" w:eastAsia="en-GB"/>
              </w:rPr>
              <w:t>licence</w:t>
            </w:r>
            <w:proofErr w:type="spellEnd"/>
          </w:p>
          <w:p w14:paraId="34BAB282"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Consultation process allowing input from all to understand any concerns</w:t>
            </w:r>
          </w:p>
          <w:p w14:paraId="34BAB283" w14:textId="77777777" w:rsidR="00CA1467" w:rsidRPr="00E1783F"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Scheme been in place for the last 5 years so is known</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4BAB284" w14:textId="77777777" w:rsidR="00CA1467" w:rsidRPr="00E1783F" w:rsidRDefault="00CA1467" w:rsidP="00A64C6D">
            <w:pPr>
              <w:ind w:right="141"/>
              <w:rPr>
                <w:rFonts w:cs="Arial"/>
                <w:sz w:val="22"/>
                <w:szCs w:val="22"/>
                <w:lang w:val="en-US" w:eastAsia="en-GB"/>
              </w:rPr>
            </w:pPr>
          </w:p>
        </w:tc>
      </w:tr>
      <w:tr w:rsidR="00B766D8" w14:paraId="34BAB28B" w14:textId="77777777" w:rsidTr="00A64C6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86" w14:textId="77777777" w:rsidR="00CA1467" w:rsidRPr="00E1783F" w:rsidRDefault="00031C54" w:rsidP="00A64C6D">
            <w:pPr>
              <w:ind w:right="141"/>
              <w:rPr>
                <w:rFonts w:cs="Arial"/>
                <w:sz w:val="22"/>
                <w:szCs w:val="22"/>
                <w:lang w:val="en-US" w:eastAsia="en-GB"/>
              </w:rPr>
            </w:pPr>
            <w:r>
              <w:rPr>
                <w:rFonts w:cs="Arial"/>
                <w:sz w:val="22"/>
                <w:szCs w:val="22"/>
                <w:lang w:val="en-US" w:eastAsia="en-GB"/>
              </w:rPr>
              <w:t>Poor compliance, including take up of the scheme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87"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Work over the last 5 years has identified and licensed the majority of premises in the area, so details known</w:t>
            </w:r>
          </w:p>
          <w:p w14:paraId="34BAB288"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Publicity, including 3 months advertising as per legislation, to take place to push scheme</w:t>
            </w:r>
          </w:p>
          <w:p w14:paraId="34BAB289" w14:textId="77777777" w:rsidR="00CA1467" w:rsidRPr="00273B9B"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Better understanding of area from the last 5 years</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4BAB28A" w14:textId="77777777" w:rsidR="00CA1467" w:rsidRPr="00E1783F" w:rsidRDefault="00CA1467" w:rsidP="00A64C6D">
            <w:pPr>
              <w:ind w:right="141"/>
              <w:rPr>
                <w:rFonts w:cs="Arial"/>
                <w:sz w:val="22"/>
                <w:szCs w:val="22"/>
                <w:lang w:val="en-US" w:eastAsia="en-GB"/>
              </w:rPr>
            </w:pPr>
          </w:p>
        </w:tc>
      </w:tr>
      <w:tr w:rsidR="00B766D8" w14:paraId="34BAB291" w14:textId="77777777" w:rsidTr="00A64C6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8C" w14:textId="77777777" w:rsidR="00CA1467" w:rsidRPr="00E1783F" w:rsidRDefault="00031C54" w:rsidP="00A64C6D">
            <w:pPr>
              <w:ind w:right="141"/>
              <w:rPr>
                <w:rFonts w:cs="Arial"/>
                <w:sz w:val="22"/>
                <w:szCs w:val="22"/>
                <w:lang w:val="en-US" w:eastAsia="en-GB"/>
              </w:rPr>
            </w:pPr>
            <w:r>
              <w:rPr>
                <w:rFonts w:cs="Arial"/>
                <w:sz w:val="22"/>
                <w:szCs w:val="22"/>
                <w:lang w:val="en-US" w:eastAsia="en-GB"/>
              </w:rPr>
              <w:t>Lack of benefit from the scheme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8D"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Evidence shows reduction in main issues, such as fly tipping, in area since scheme was originally introduced</w:t>
            </w:r>
          </w:p>
          <w:p w14:paraId="34BAB28E"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Inspections of premises as part of the licensing scheme means all premises do gain a proper inspection and follow up</w:t>
            </w:r>
          </w:p>
          <w:p w14:paraId="34BAB28F" w14:textId="77777777" w:rsidR="00CA1467" w:rsidRPr="00E1783F"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Monitoring of progress conducted to show effective, including conditions applied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4BAB290" w14:textId="77777777" w:rsidR="00CA1467" w:rsidRPr="00E1783F" w:rsidRDefault="00CA1467" w:rsidP="00A64C6D">
            <w:pPr>
              <w:ind w:right="141"/>
              <w:rPr>
                <w:rFonts w:cs="Arial"/>
                <w:sz w:val="22"/>
                <w:szCs w:val="22"/>
                <w:lang w:val="en-US" w:eastAsia="en-GB"/>
              </w:rPr>
            </w:pPr>
          </w:p>
        </w:tc>
      </w:tr>
      <w:tr w:rsidR="00B766D8" w14:paraId="34BAB297" w14:textId="77777777" w:rsidTr="00A64C6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92" w14:textId="77777777" w:rsidR="00CA1467" w:rsidRDefault="00031C54" w:rsidP="00A64C6D">
            <w:pPr>
              <w:ind w:right="141"/>
              <w:rPr>
                <w:rFonts w:cs="Arial"/>
                <w:sz w:val="22"/>
                <w:szCs w:val="22"/>
                <w:lang w:val="en-US" w:eastAsia="en-GB"/>
              </w:rPr>
            </w:pPr>
            <w:r>
              <w:rPr>
                <w:rFonts w:cs="Arial"/>
                <w:sz w:val="22"/>
                <w:szCs w:val="22"/>
                <w:lang w:val="en-US" w:eastAsia="en-GB"/>
              </w:rPr>
              <w:t>Judicial review of the scheme by a landlord / representative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93"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Evidence base to show justification for renewing</w:t>
            </w:r>
          </w:p>
          <w:p w14:paraId="34BAB294"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Meet the legislation in terms of consultation, advertising and implementation</w:t>
            </w:r>
          </w:p>
          <w:p w14:paraId="34BAB295" w14:textId="77777777" w:rsidR="00CA1467" w:rsidRPr="00B4699D"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Address any concerns raised directly to prevent need for a judicial review</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4BAB296" w14:textId="77777777" w:rsidR="00CA1467" w:rsidRPr="00E1783F" w:rsidRDefault="00CA1467" w:rsidP="00A64C6D">
            <w:pPr>
              <w:ind w:right="141"/>
              <w:rPr>
                <w:rFonts w:cs="Arial"/>
                <w:sz w:val="22"/>
                <w:szCs w:val="22"/>
                <w:lang w:val="en-US" w:eastAsia="en-GB"/>
              </w:rPr>
            </w:pPr>
          </w:p>
        </w:tc>
      </w:tr>
      <w:tr w:rsidR="00B766D8" w14:paraId="34BAB29C" w14:textId="77777777" w:rsidTr="00A64C6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98" w14:textId="77777777" w:rsidR="00CA1467" w:rsidRDefault="00031C54" w:rsidP="00A64C6D">
            <w:pPr>
              <w:ind w:right="141"/>
              <w:rPr>
                <w:rFonts w:cs="Arial"/>
                <w:sz w:val="22"/>
                <w:szCs w:val="22"/>
                <w:lang w:val="en-US" w:eastAsia="en-GB"/>
              </w:rPr>
            </w:pPr>
            <w:r>
              <w:rPr>
                <w:rFonts w:cs="Arial"/>
                <w:sz w:val="22"/>
                <w:szCs w:val="22"/>
                <w:lang w:val="en-US" w:eastAsia="en-GB"/>
              </w:rPr>
              <w:t>Lack of resources to implement properly</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99" w14:textId="77777777" w:rsidR="00CA1467"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Residential Licensing team in place to oversee, with additional officers introduced to assist</w:t>
            </w:r>
          </w:p>
          <w:p w14:paraId="34BAB29A" w14:textId="77777777" w:rsidR="00CA1467" w:rsidRPr="00273B9B" w:rsidRDefault="00031C54"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Better on line applications and payments scheme, with further work taking place</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34BAB29B" w14:textId="77777777" w:rsidR="00CA1467" w:rsidRPr="00E1783F" w:rsidRDefault="00CA1467" w:rsidP="00A64C6D">
            <w:pPr>
              <w:ind w:right="141"/>
              <w:rPr>
                <w:rFonts w:cs="Arial"/>
                <w:sz w:val="22"/>
                <w:szCs w:val="22"/>
                <w:lang w:val="en-US" w:eastAsia="en-GB"/>
              </w:rPr>
            </w:pPr>
          </w:p>
        </w:tc>
      </w:tr>
      <w:tr w:rsidR="00B766D8" w14:paraId="34BAB2A0" w14:textId="77777777" w:rsidTr="00A64C6D">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9D" w14:textId="77777777" w:rsidR="00CA1467" w:rsidRDefault="00031C54" w:rsidP="00A64C6D">
            <w:pPr>
              <w:ind w:right="141"/>
              <w:rPr>
                <w:rFonts w:cs="Arial"/>
                <w:sz w:val="22"/>
                <w:szCs w:val="22"/>
                <w:lang w:val="en-US" w:eastAsia="en-GB"/>
              </w:rPr>
            </w:pPr>
            <w:r>
              <w:rPr>
                <w:rFonts w:cs="Arial"/>
                <w:sz w:val="22"/>
                <w:szCs w:val="22"/>
                <w:lang w:val="en-US" w:eastAsia="en-GB"/>
              </w:rPr>
              <w:t>Requirement for income outweighs main outcomes of the scheme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B29E" w14:textId="26FEE600" w:rsidR="00CA1467" w:rsidRPr="00273B9B" w:rsidRDefault="00482CC8" w:rsidP="00CA1467">
            <w:pPr>
              <w:pStyle w:val="ListParagraph"/>
              <w:numPr>
                <w:ilvl w:val="0"/>
                <w:numId w:val="25"/>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Income t</w:t>
            </w:r>
            <w:r w:rsidR="00031C54">
              <w:rPr>
                <w:rFonts w:cs="Arial"/>
                <w:sz w:val="22"/>
                <w:szCs w:val="22"/>
                <w:lang w:val="en-US" w:eastAsia="en-GB"/>
              </w:rPr>
              <w:t>arget assigned to scheme lessened, to better represent cost of scheme</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34BAB29F" w14:textId="77777777" w:rsidR="00CA1467" w:rsidRPr="00E1783F" w:rsidRDefault="00CA1467" w:rsidP="00A64C6D">
            <w:pPr>
              <w:ind w:right="141"/>
              <w:rPr>
                <w:rFonts w:cs="Arial"/>
                <w:sz w:val="22"/>
                <w:szCs w:val="22"/>
                <w:lang w:val="en-US" w:eastAsia="en-GB"/>
              </w:rPr>
            </w:pPr>
          </w:p>
        </w:tc>
      </w:tr>
    </w:tbl>
    <w:p w14:paraId="34BAB2A1" w14:textId="77777777" w:rsidR="00CA1467" w:rsidRDefault="00CA1467" w:rsidP="00CA1467">
      <w:pPr>
        <w:ind w:right="141"/>
        <w:rPr>
          <w:rFonts w:cs="Arial"/>
          <w:i/>
          <w:iCs/>
          <w:szCs w:val="24"/>
          <w:lang w:val="en-US" w:eastAsia="en-GB"/>
        </w:rPr>
      </w:pPr>
    </w:p>
    <w:p w14:paraId="0D097D16" w14:textId="77777777" w:rsidR="0039170C" w:rsidRDefault="0039170C">
      <w:pPr>
        <w:rPr>
          <w:rFonts w:cs="Arial"/>
          <w:b/>
          <w:bCs/>
          <w:sz w:val="32"/>
          <w:szCs w:val="32"/>
        </w:rPr>
      </w:pPr>
      <w:r>
        <w:rPr>
          <w:sz w:val="32"/>
        </w:rPr>
        <w:br w:type="page"/>
      </w:r>
    </w:p>
    <w:p w14:paraId="34BAB2A6" w14:textId="74196375" w:rsidR="00CA1467" w:rsidRPr="00F97F45" w:rsidRDefault="00031C54" w:rsidP="00CA1467">
      <w:pPr>
        <w:pStyle w:val="Heading2"/>
        <w:rPr>
          <w:sz w:val="32"/>
        </w:rPr>
      </w:pPr>
      <w:r w:rsidRPr="00F97F45">
        <w:rPr>
          <w:sz w:val="32"/>
        </w:rPr>
        <w:t>7. Legal Implications</w:t>
      </w:r>
    </w:p>
    <w:p w14:paraId="34BAB2A7" w14:textId="77777777" w:rsidR="00CA1467" w:rsidRDefault="00CA1467" w:rsidP="00CA1467">
      <w:pPr>
        <w:pStyle w:val="Heading4"/>
        <w:rPr>
          <w:b w:val="0"/>
        </w:rPr>
      </w:pPr>
    </w:p>
    <w:p w14:paraId="34BAB2A8" w14:textId="77777777" w:rsidR="00CA1467" w:rsidRPr="000F751A" w:rsidRDefault="00031C54" w:rsidP="00CA1467">
      <w:pPr>
        <w:rPr>
          <w:rFonts w:cs="Arial"/>
          <w:b/>
          <w:szCs w:val="24"/>
        </w:rPr>
      </w:pPr>
      <w:r w:rsidRPr="000F751A">
        <w:rPr>
          <w:rFonts w:cs="Arial"/>
          <w:b/>
          <w:szCs w:val="24"/>
        </w:rPr>
        <w:t>Selective Licensing designations</w:t>
      </w:r>
    </w:p>
    <w:p w14:paraId="34BAB2A9" w14:textId="77777777" w:rsidR="00CA1467" w:rsidRPr="000F751A" w:rsidRDefault="00CA1467" w:rsidP="00CA1467">
      <w:pPr>
        <w:rPr>
          <w:rFonts w:cs="Arial"/>
          <w:b/>
          <w:szCs w:val="24"/>
        </w:rPr>
      </w:pPr>
    </w:p>
    <w:p w14:paraId="34BAB2AA" w14:textId="77777777" w:rsidR="00CA1467" w:rsidRPr="000F751A" w:rsidRDefault="00031C54" w:rsidP="00CA1467">
      <w:pPr>
        <w:numPr>
          <w:ilvl w:val="2"/>
          <w:numId w:val="11"/>
        </w:numPr>
        <w:overflowPunct w:val="0"/>
        <w:autoSpaceDE w:val="0"/>
        <w:autoSpaceDN w:val="0"/>
        <w:adjustRightInd w:val="0"/>
        <w:jc w:val="both"/>
        <w:textAlignment w:val="baseline"/>
        <w:rPr>
          <w:rFonts w:cs="Arial"/>
          <w:szCs w:val="24"/>
        </w:rPr>
      </w:pPr>
      <w:r w:rsidRPr="000F751A">
        <w:rPr>
          <w:rFonts w:cs="Arial"/>
          <w:szCs w:val="24"/>
        </w:rPr>
        <w:t>Sections 80 to 84 of the Housing Act 2004 (hereinafter referred to as ‘the Act’), specifically covers the designation of selective licensing areas.  Section 80(1) allows a local housing authority (the council) to designate either the whole of its area or an area within it to be subject to selective licensing.</w:t>
      </w:r>
    </w:p>
    <w:p w14:paraId="34BAB2AB" w14:textId="77777777" w:rsidR="00CA1467" w:rsidRPr="000F751A" w:rsidRDefault="00CA1467" w:rsidP="00CA1467">
      <w:pPr>
        <w:ind w:left="720"/>
        <w:rPr>
          <w:rFonts w:cs="Arial"/>
          <w:szCs w:val="24"/>
        </w:rPr>
      </w:pPr>
    </w:p>
    <w:p w14:paraId="34BAB2AC" w14:textId="77777777" w:rsidR="00CA1467" w:rsidRPr="000F751A" w:rsidRDefault="00031C54" w:rsidP="00CA1467">
      <w:pPr>
        <w:numPr>
          <w:ilvl w:val="2"/>
          <w:numId w:val="11"/>
        </w:numPr>
        <w:overflowPunct w:val="0"/>
        <w:autoSpaceDE w:val="0"/>
        <w:autoSpaceDN w:val="0"/>
        <w:adjustRightInd w:val="0"/>
        <w:jc w:val="both"/>
        <w:textAlignment w:val="baseline"/>
        <w:rPr>
          <w:rFonts w:cs="Arial"/>
          <w:szCs w:val="24"/>
        </w:rPr>
      </w:pPr>
      <w:r w:rsidRPr="000F751A">
        <w:rPr>
          <w:rFonts w:cs="Arial"/>
          <w:szCs w:val="24"/>
        </w:rPr>
        <w:t>However, under section 80(2) of the Act, before introducing a selective licensing scheme, the Council must consider that:</w:t>
      </w:r>
    </w:p>
    <w:p w14:paraId="34BAB2AD" w14:textId="77777777" w:rsidR="00CA1467" w:rsidRPr="000F751A" w:rsidRDefault="00CA1467" w:rsidP="00CA1467">
      <w:pPr>
        <w:rPr>
          <w:rFonts w:cs="Arial"/>
          <w:szCs w:val="24"/>
        </w:rPr>
      </w:pPr>
    </w:p>
    <w:p w14:paraId="34BAB2AE" w14:textId="77777777" w:rsidR="00CA1467" w:rsidRPr="000F751A" w:rsidRDefault="00031C54" w:rsidP="00CA1467">
      <w:pPr>
        <w:numPr>
          <w:ilvl w:val="0"/>
          <w:numId w:val="10"/>
        </w:numPr>
        <w:overflowPunct w:val="0"/>
        <w:autoSpaceDE w:val="0"/>
        <w:autoSpaceDN w:val="0"/>
        <w:adjustRightInd w:val="0"/>
        <w:jc w:val="both"/>
        <w:textAlignment w:val="baseline"/>
        <w:rPr>
          <w:rFonts w:cs="Arial"/>
          <w:szCs w:val="24"/>
        </w:rPr>
      </w:pPr>
      <w:r w:rsidRPr="000F751A">
        <w:rPr>
          <w:rFonts w:cs="Arial"/>
          <w:szCs w:val="24"/>
        </w:rPr>
        <w:t>the first or second set of general conditions mentioned in section 80(3) or (6) of the Act; or</w:t>
      </w:r>
    </w:p>
    <w:p w14:paraId="34BAB2AF" w14:textId="77777777" w:rsidR="00CA1467" w:rsidRPr="00B36E7B" w:rsidRDefault="00031C54" w:rsidP="00CA1467">
      <w:pPr>
        <w:numPr>
          <w:ilvl w:val="0"/>
          <w:numId w:val="10"/>
        </w:numPr>
        <w:overflowPunct w:val="0"/>
        <w:autoSpaceDE w:val="0"/>
        <w:autoSpaceDN w:val="0"/>
        <w:adjustRightInd w:val="0"/>
        <w:jc w:val="both"/>
        <w:textAlignment w:val="baseline"/>
        <w:rPr>
          <w:rFonts w:cs="Arial"/>
          <w:szCs w:val="24"/>
        </w:rPr>
      </w:pPr>
      <w:r w:rsidRPr="000F751A">
        <w:rPr>
          <w:rFonts w:cs="Arial"/>
          <w:szCs w:val="24"/>
        </w:rPr>
        <w:t xml:space="preserve">any conditions specified in an order under section 80(7) of the Act as an additional set of conditions </w:t>
      </w:r>
      <w:r w:rsidRPr="00B36E7B">
        <w:rPr>
          <w:rFonts w:cs="Arial"/>
          <w:szCs w:val="24"/>
        </w:rPr>
        <w:t>are satisfied in relation to the area</w:t>
      </w:r>
    </w:p>
    <w:p w14:paraId="34BAB2B0" w14:textId="77777777" w:rsidR="00CA1467" w:rsidRPr="000F751A" w:rsidRDefault="00CA1467" w:rsidP="00CA1467">
      <w:pPr>
        <w:ind w:left="720"/>
        <w:rPr>
          <w:rFonts w:cs="Arial"/>
          <w:szCs w:val="24"/>
        </w:rPr>
      </w:pPr>
    </w:p>
    <w:p w14:paraId="34BAB2B1" w14:textId="77777777" w:rsidR="00CA1467" w:rsidRPr="008C1800" w:rsidRDefault="00031C54" w:rsidP="00CA1467">
      <w:pPr>
        <w:numPr>
          <w:ilvl w:val="2"/>
          <w:numId w:val="11"/>
        </w:numPr>
        <w:overflowPunct w:val="0"/>
        <w:autoSpaceDE w:val="0"/>
        <w:autoSpaceDN w:val="0"/>
        <w:adjustRightInd w:val="0"/>
        <w:jc w:val="both"/>
        <w:textAlignment w:val="baseline"/>
        <w:rPr>
          <w:rFonts w:cs="Arial"/>
          <w:szCs w:val="24"/>
        </w:rPr>
      </w:pPr>
      <w:r w:rsidRPr="000F751A">
        <w:rPr>
          <w:rFonts w:cs="Arial"/>
          <w:szCs w:val="24"/>
        </w:rPr>
        <w:t>Section 80(3) of the Act states:</w:t>
      </w:r>
    </w:p>
    <w:p w14:paraId="34BAB2B2" w14:textId="77777777" w:rsidR="00CA1467" w:rsidRPr="000F751A" w:rsidRDefault="00031C54" w:rsidP="00CA1467">
      <w:pPr>
        <w:spacing w:before="210"/>
        <w:ind w:left="225" w:right="225" w:firstLine="495"/>
        <w:rPr>
          <w:rFonts w:cs="Arial"/>
          <w:i/>
          <w:color w:val="000000"/>
          <w:szCs w:val="24"/>
          <w:lang w:eastAsia="en-GB"/>
        </w:rPr>
      </w:pPr>
      <w:r w:rsidRPr="000F751A">
        <w:rPr>
          <w:rFonts w:cs="Arial"/>
          <w:i/>
          <w:color w:val="000000"/>
          <w:szCs w:val="24"/>
          <w:lang w:eastAsia="en-GB"/>
        </w:rPr>
        <w:t>“(3)     The first set of general conditions are—</w:t>
      </w:r>
    </w:p>
    <w:p w14:paraId="34BAB2B3"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t>(a)     that the area is, or is likely to become, an area of low housing demand; and</w:t>
      </w:r>
    </w:p>
    <w:p w14:paraId="34BAB2B4" w14:textId="77777777" w:rsidR="00CA1467" w:rsidRPr="000F751A" w:rsidRDefault="00031C54" w:rsidP="00CA1467">
      <w:pPr>
        <w:spacing w:before="210"/>
        <w:ind w:left="720" w:right="225"/>
        <w:rPr>
          <w:rFonts w:cs="Arial"/>
          <w:color w:val="000000"/>
          <w:szCs w:val="24"/>
          <w:lang w:eastAsia="en-GB"/>
        </w:rPr>
      </w:pPr>
      <w:r w:rsidRPr="000F751A">
        <w:rPr>
          <w:rFonts w:cs="Arial"/>
          <w:i/>
          <w:color w:val="000000"/>
          <w:szCs w:val="24"/>
          <w:lang w:eastAsia="en-GB"/>
        </w:rPr>
        <w:t>(b)     that making a designation will, when combined with other measures taken in the area by the local housing authority, or by other persons together with the local housing authority, contribute to the improvement of the social or economic conditions in the area.”</w:t>
      </w:r>
    </w:p>
    <w:p w14:paraId="34BAB2B5" w14:textId="77777777" w:rsidR="00CA1467" w:rsidRPr="000F751A" w:rsidRDefault="00CA1467" w:rsidP="00CA1467">
      <w:pPr>
        <w:rPr>
          <w:rFonts w:cs="Arial"/>
          <w:szCs w:val="24"/>
        </w:rPr>
      </w:pPr>
    </w:p>
    <w:p w14:paraId="34BAB2B6" w14:textId="77777777" w:rsidR="00CA1467" w:rsidRPr="000F751A" w:rsidRDefault="00031C54" w:rsidP="00CA1467">
      <w:pPr>
        <w:numPr>
          <w:ilvl w:val="0"/>
          <w:numId w:val="12"/>
        </w:numPr>
        <w:overflowPunct w:val="0"/>
        <w:autoSpaceDE w:val="0"/>
        <w:autoSpaceDN w:val="0"/>
        <w:adjustRightInd w:val="0"/>
        <w:jc w:val="both"/>
        <w:textAlignment w:val="baseline"/>
        <w:rPr>
          <w:rFonts w:cs="Arial"/>
          <w:szCs w:val="24"/>
        </w:rPr>
      </w:pPr>
      <w:r w:rsidRPr="000F751A">
        <w:rPr>
          <w:rFonts w:cs="Arial"/>
          <w:szCs w:val="24"/>
        </w:rPr>
        <w:t xml:space="preserve"> </w:t>
      </w:r>
      <w:r w:rsidRPr="000F751A">
        <w:rPr>
          <w:rFonts w:cs="Arial"/>
          <w:szCs w:val="24"/>
        </w:rPr>
        <w:tab/>
        <w:t>Section 80(6) of the Act states:</w:t>
      </w:r>
    </w:p>
    <w:p w14:paraId="34BAB2B7" w14:textId="77777777" w:rsidR="00CA1467" w:rsidRPr="000F751A" w:rsidRDefault="00031C54" w:rsidP="00CA1467">
      <w:pPr>
        <w:spacing w:before="210"/>
        <w:ind w:left="225" w:right="225" w:firstLine="495"/>
        <w:rPr>
          <w:rFonts w:cs="Arial"/>
          <w:i/>
          <w:color w:val="000000"/>
          <w:szCs w:val="24"/>
          <w:lang w:eastAsia="en-GB"/>
        </w:rPr>
      </w:pPr>
      <w:r>
        <w:rPr>
          <w:rFonts w:cs="Arial"/>
          <w:i/>
          <w:color w:val="000000"/>
          <w:szCs w:val="24"/>
          <w:lang w:eastAsia="en-GB"/>
        </w:rPr>
        <w:t xml:space="preserve">“(6) </w:t>
      </w:r>
      <w:r w:rsidRPr="000F751A">
        <w:rPr>
          <w:rFonts w:cs="Arial"/>
          <w:i/>
          <w:color w:val="000000"/>
          <w:szCs w:val="24"/>
          <w:lang w:eastAsia="en-GB"/>
        </w:rPr>
        <w:t xml:space="preserve"> The second set of general conditions are—</w:t>
      </w:r>
    </w:p>
    <w:p w14:paraId="34BAB2B8" w14:textId="77777777" w:rsidR="00CA1467" w:rsidRDefault="00031C54" w:rsidP="00CA1467">
      <w:pPr>
        <w:numPr>
          <w:ilvl w:val="0"/>
          <w:numId w:val="23"/>
        </w:numPr>
        <w:spacing w:before="210"/>
        <w:ind w:right="225"/>
        <w:rPr>
          <w:rFonts w:cs="Arial"/>
          <w:i/>
          <w:color w:val="000000"/>
          <w:szCs w:val="24"/>
          <w:lang w:eastAsia="en-GB"/>
        </w:rPr>
      </w:pPr>
      <w:r w:rsidRPr="000F751A">
        <w:rPr>
          <w:rFonts w:cs="Arial"/>
          <w:i/>
          <w:color w:val="000000"/>
          <w:szCs w:val="24"/>
          <w:lang w:eastAsia="en-GB"/>
        </w:rPr>
        <w:t>that the area is experiencing a significant and persistent problem caused by anti-social behaviour;</w:t>
      </w:r>
    </w:p>
    <w:p w14:paraId="34BAB2B9" w14:textId="77777777" w:rsidR="00CA1467" w:rsidRDefault="00031C54" w:rsidP="00CA1467">
      <w:pPr>
        <w:numPr>
          <w:ilvl w:val="0"/>
          <w:numId w:val="23"/>
        </w:numPr>
        <w:spacing w:before="210"/>
        <w:ind w:right="225"/>
        <w:rPr>
          <w:rFonts w:cs="Arial"/>
          <w:i/>
          <w:color w:val="000000"/>
          <w:szCs w:val="24"/>
          <w:lang w:eastAsia="en-GB"/>
        </w:rPr>
      </w:pPr>
      <w:r w:rsidRPr="00232BEE">
        <w:rPr>
          <w:rFonts w:cs="Arial"/>
          <w:i/>
          <w:color w:val="000000"/>
          <w:szCs w:val="24"/>
          <w:lang w:eastAsia="en-GB"/>
        </w:rPr>
        <w:t xml:space="preserve"> that some or all of the private sector landlords who have let premises in the area (whether under leases or licences) are failing to take action to combat the problem that it would be appropriate for them to take; and</w:t>
      </w:r>
    </w:p>
    <w:p w14:paraId="34BAB2BA" w14:textId="77777777" w:rsidR="00CA1467" w:rsidRPr="00232BEE" w:rsidRDefault="00031C54" w:rsidP="00CA1467">
      <w:pPr>
        <w:numPr>
          <w:ilvl w:val="0"/>
          <w:numId w:val="23"/>
        </w:numPr>
        <w:spacing w:before="210"/>
        <w:ind w:right="225"/>
        <w:rPr>
          <w:rFonts w:cs="Arial"/>
          <w:i/>
          <w:color w:val="000000"/>
          <w:szCs w:val="24"/>
          <w:lang w:eastAsia="en-GB"/>
        </w:rPr>
      </w:pPr>
      <w:r w:rsidRPr="00232BEE">
        <w:rPr>
          <w:rFonts w:cs="Arial"/>
          <w:i/>
          <w:color w:val="000000"/>
          <w:szCs w:val="24"/>
          <w:lang w:eastAsia="en-GB"/>
        </w:rPr>
        <w:t xml:space="preserve"> that making a designation will, when combined with other measures taken in the area by the local housing authority, or by other persons together with the local housing authority, lead to a reduction in, or the elimination of, the problem.</w:t>
      </w:r>
    </w:p>
    <w:p w14:paraId="34BAB2BB"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t xml:space="preserve">“Private sector landlord” does not include [a non-profit registered provider of social housing or] a registered social landlord within the meaning of </w:t>
      </w:r>
      <w:r w:rsidRPr="000F751A">
        <w:rPr>
          <w:rFonts w:cs="Arial"/>
          <w:i/>
          <w:szCs w:val="24"/>
          <w:lang w:eastAsia="en-GB"/>
        </w:rPr>
        <w:t>Part 1</w:t>
      </w:r>
      <w:r w:rsidRPr="000F751A">
        <w:rPr>
          <w:rFonts w:cs="Arial"/>
          <w:i/>
          <w:color w:val="000000"/>
          <w:szCs w:val="24"/>
          <w:lang w:eastAsia="en-GB"/>
        </w:rPr>
        <w:t xml:space="preserve"> of the Housing Act 1996 (c 52).”</w:t>
      </w:r>
    </w:p>
    <w:p w14:paraId="34BAB2BC" w14:textId="77777777" w:rsidR="00CA1467" w:rsidRPr="000F751A" w:rsidRDefault="00CA1467" w:rsidP="00CA1467">
      <w:pPr>
        <w:rPr>
          <w:rFonts w:cs="Arial"/>
          <w:szCs w:val="24"/>
        </w:rPr>
      </w:pPr>
    </w:p>
    <w:p w14:paraId="34BAB2BD" w14:textId="77777777" w:rsidR="00CA1467" w:rsidRPr="000F751A" w:rsidRDefault="00031C54" w:rsidP="00CA1467">
      <w:pPr>
        <w:numPr>
          <w:ilvl w:val="2"/>
          <w:numId w:val="13"/>
        </w:numPr>
        <w:overflowPunct w:val="0"/>
        <w:autoSpaceDE w:val="0"/>
        <w:autoSpaceDN w:val="0"/>
        <w:adjustRightInd w:val="0"/>
        <w:spacing w:before="210"/>
        <w:ind w:right="225"/>
        <w:jc w:val="both"/>
        <w:textAlignment w:val="baseline"/>
        <w:rPr>
          <w:rFonts w:cs="Arial"/>
          <w:szCs w:val="24"/>
          <w:lang w:eastAsia="en-GB"/>
        </w:rPr>
      </w:pPr>
      <w:r w:rsidRPr="000F751A">
        <w:rPr>
          <w:rFonts w:cs="Arial"/>
          <w:szCs w:val="24"/>
          <w:lang w:eastAsia="en-GB"/>
        </w:rPr>
        <w:t>Section 57(5) of the Act sets out the definition of “anti-social behaviour”.</w:t>
      </w:r>
    </w:p>
    <w:p w14:paraId="34BAB2BE" w14:textId="77777777" w:rsidR="00CA1467" w:rsidRPr="000F751A" w:rsidRDefault="00031C54" w:rsidP="00CA1467">
      <w:pPr>
        <w:spacing w:before="210"/>
        <w:ind w:right="225"/>
        <w:rPr>
          <w:rFonts w:cs="Arial"/>
          <w:b/>
          <w:szCs w:val="24"/>
          <w:lang w:eastAsia="en-GB"/>
        </w:rPr>
      </w:pPr>
      <w:r w:rsidRPr="000F751A">
        <w:rPr>
          <w:rFonts w:cs="Arial"/>
          <w:b/>
          <w:szCs w:val="24"/>
          <w:lang w:eastAsia="en-GB"/>
        </w:rPr>
        <w:lastRenderedPageBreak/>
        <w:t>Consultation</w:t>
      </w:r>
      <w:r>
        <w:rPr>
          <w:rFonts w:cs="Arial"/>
          <w:b/>
          <w:szCs w:val="24"/>
          <w:lang w:eastAsia="en-GB"/>
        </w:rPr>
        <w:t>,</w:t>
      </w:r>
      <w:r w:rsidRPr="000F751A">
        <w:rPr>
          <w:rFonts w:cs="Arial"/>
          <w:b/>
          <w:szCs w:val="24"/>
          <w:lang w:eastAsia="en-GB"/>
        </w:rPr>
        <w:t xml:space="preserve"> other requirements and options</w:t>
      </w:r>
    </w:p>
    <w:p w14:paraId="34BAB2BF" w14:textId="77777777" w:rsidR="00CA1467" w:rsidRPr="000F751A" w:rsidRDefault="00CA1467" w:rsidP="00CA1467">
      <w:pPr>
        <w:ind w:left="720"/>
        <w:rPr>
          <w:rFonts w:cs="Arial"/>
          <w:szCs w:val="24"/>
        </w:rPr>
      </w:pPr>
    </w:p>
    <w:p w14:paraId="34BAB2C0" w14:textId="77777777" w:rsidR="00CA1467" w:rsidRPr="000F751A" w:rsidRDefault="00031C54" w:rsidP="00CA1467">
      <w:pPr>
        <w:numPr>
          <w:ilvl w:val="2"/>
          <w:numId w:val="13"/>
        </w:numPr>
        <w:overflowPunct w:val="0"/>
        <w:autoSpaceDE w:val="0"/>
        <w:autoSpaceDN w:val="0"/>
        <w:adjustRightInd w:val="0"/>
        <w:jc w:val="both"/>
        <w:textAlignment w:val="baseline"/>
        <w:rPr>
          <w:rFonts w:cs="Arial"/>
          <w:szCs w:val="24"/>
        </w:rPr>
      </w:pPr>
      <w:r w:rsidRPr="000F751A">
        <w:rPr>
          <w:rFonts w:cs="Arial"/>
          <w:szCs w:val="24"/>
        </w:rPr>
        <w:t>Before making a (selective licensing) designation</w:t>
      </w:r>
      <w:r>
        <w:rPr>
          <w:rFonts w:cs="Arial"/>
          <w:szCs w:val="24"/>
        </w:rPr>
        <w:t>,</w:t>
      </w:r>
      <w:r w:rsidRPr="000F751A">
        <w:rPr>
          <w:rFonts w:cs="Arial"/>
          <w:szCs w:val="24"/>
        </w:rPr>
        <w:t xml:space="preserve"> the local housing authority is required by section 80(9) of the Act, to:</w:t>
      </w:r>
    </w:p>
    <w:p w14:paraId="34BAB2C1" w14:textId="77777777" w:rsidR="00CA1467" w:rsidRPr="000F751A" w:rsidRDefault="00CA1467" w:rsidP="00CA1467">
      <w:pPr>
        <w:rPr>
          <w:rFonts w:cs="Arial"/>
          <w:szCs w:val="24"/>
        </w:rPr>
      </w:pPr>
    </w:p>
    <w:p w14:paraId="34BAB2C2" w14:textId="77777777" w:rsidR="00CA1467" w:rsidRPr="000F751A" w:rsidRDefault="00031C54" w:rsidP="00CA1467">
      <w:pPr>
        <w:ind w:left="720"/>
        <w:rPr>
          <w:rFonts w:cs="Arial"/>
          <w:i/>
          <w:szCs w:val="24"/>
        </w:rPr>
      </w:pPr>
      <w:r w:rsidRPr="000F751A">
        <w:rPr>
          <w:rFonts w:cs="Arial"/>
          <w:i/>
          <w:szCs w:val="24"/>
        </w:rPr>
        <w:t>“(a) take reasonable steps to consult persons who are likely to be affected by the designation; and</w:t>
      </w:r>
    </w:p>
    <w:p w14:paraId="34BAB2C3" w14:textId="77777777" w:rsidR="00CA1467" w:rsidRPr="000F751A" w:rsidRDefault="00CA1467" w:rsidP="00CA1467">
      <w:pPr>
        <w:ind w:left="720"/>
        <w:rPr>
          <w:rFonts w:cs="Arial"/>
          <w:i/>
          <w:szCs w:val="24"/>
        </w:rPr>
      </w:pPr>
    </w:p>
    <w:p w14:paraId="34BAB2C4" w14:textId="77777777" w:rsidR="00CA1467" w:rsidRPr="000F751A" w:rsidRDefault="00031C54" w:rsidP="00CA1467">
      <w:pPr>
        <w:ind w:left="720"/>
        <w:rPr>
          <w:rFonts w:cs="Arial"/>
          <w:i/>
          <w:szCs w:val="24"/>
        </w:rPr>
      </w:pPr>
      <w:r w:rsidRPr="000F751A">
        <w:rPr>
          <w:rFonts w:cs="Arial"/>
          <w:i/>
          <w:szCs w:val="24"/>
        </w:rPr>
        <w:t>(b) consider any representations made in accordance with the consultation and not withdrawn.”</w:t>
      </w:r>
    </w:p>
    <w:p w14:paraId="34BAB2C5" w14:textId="77777777" w:rsidR="00CA1467" w:rsidRPr="000F751A" w:rsidRDefault="00CA1467" w:rsidP="00CA1467">
      <w:pPr>
        <w:rPr>
          <w:rFonts w:cs="Arial"/>
          <w:szCs w:val="24"/>
        </w:rPr>
      </w:pPr>
    </w:p>
    <w:p w14:paraId="34BAB2C6" w14:textId="77777777" w:rsidR="00CA1467" w:rsidRPr="000F751A" w:rsidRDefault="00031C54" w:rsidP="00CA1467">
      <w:pPr>
        <w:numPr>
          <w:ilvl w:val="2"/>
          <w:numId w:val="13"/>
        </w:numPr>
        <w:shd w:val="clear" w:color="auto" w:fill="FFFFFF"/>
        <w:overflowPunct w:val="0"/>
        <w:autoSpaceDE w:val="0"/>
        <w:autoSpaceDN w:val="0"/>
        <w:adjustRightInd w:val="0"/>
        <w:spacing w:line="360" w:lineRule="atLeast"/>
        <w:jc w:val="both"/>
        <w:textAlignment w:val="baseline"/>
        <w:rPr>
          <w:rFonts w:cs="Arial"/>
          <w:color w:val="000000"/>
          <w:szCs w:val="24"/>
          <w:lang w:val="en" w:eastAsia="en-GB"/>
        </w:rPr>
      </w:pPr>
      <w:r w:rsidRPr="000F751A">
        <w:rPr>
          <w:rFonts w:cs="Arial"/>
          <w:szCs w:val="24"/>
        </w:rPr>
        <w:t xml:space="preserve">The consultation should run for at least 10 weeks. As noted, </w:t>
      </w:r>
      <w:r>
        <w:rPr>
          <w:rFonts w:cs="Arial"/>
          <w:szCs w:val="24"/>
        </w:rPr>
        <w:t>at 3.2</w:t>
      </w:r>
      <w:r w:rsidRPr="000F751A">
        <w:rPr>
          <w:rFonts w:cs="Arial"/>
          <w:szCs w:val="24"/>
        </w:rPr>
        <w:t xml:space="preserve"> in this report the consultation for the proposed </w:t>
      </w:r>
      <w:r w:rsidR="005E5F36">
        <w:rPr>
          <w:rFonts w:cs="Arial"/>
          <w:szCs w:val="24"/>
        </w:rPr>
        <w:t>Wealdstone</w:t>
      </w:r>
      <w:r w:rsidRPr="000F751A">
        <w:rPr>
          <w:rFonts w:cs="Arial"/>
          <w:szCs w:val="24"/>
        </w:rPr>
        <w:t xml:space="preserve"> ward scheme ran for </w:t>
      </w:r>
      <w:r>
        <w:rPr>
          <w:rFonts w:cs="Arial"/>
          <w:szCs w:val="24"/>
        </w:rPr>
        <w:t>10 weeks</w:t>
      </w:r>
      <w:r w:rsidRPr="000F751A">
        <w:rPr>
          <w:rFonts w:cs="Arial"/>
          <w:szCs w:val="24"/>
        </w:rPr>
        <w:t xml:space="preserve">.  </w:t>
      </w:r>
      <w:r w:rsidRPr="000F751A">
        <w:rPr>
          <w:rFonts w:cs="Arial"/>
          <w:color w:val="000000"/>
          <w:szCs w:val="24"/>
          <w:lang w:val="en" w:eastAsia="en-GB"/>
        </w:rPr>
        <w:t xml:space="preserve">Details of the consultation carried out to meet this requirement are set out in </w:t>
      </w:r>
      <w:r w:rsidRPr="00A45797">
        <w:rPr>
          <w:rFonts w:cs="Arial"/>
          <w:b/>
          <w:color w:val="000000"/>
          <w:szCs w:val="24"/>
          <w:lang w:val="en" w:eastAsia="en-GB"/>
        </w:rPr>
        <w:t xml:space="preserve">Appendix </w:t>
      </w:r>
      <w:r w:rsidR="009817B4">
        <w:rPr>
          <w:rFonts w:cs="Arial"/>
          <w:b/>
          <w:color w:val="000000"/>
          <w:szCs w:val="24"/>
          <w:lang w:val="en" w:eastAsia="en-GB"/>
        </w:rPr>
        <w:t>B</w:t>
      </w:r>
      <w:r w:rsidRPr="000F751A">
        <w:rPr>
          <w:rFonts w:cs="Arial"/>
          <w:color w:val="000000"/>
          <w:szCs w:val="24"/>
          <w:lang w:val="en" w:eastAsia="en-GB"/>
        </w:rPr>
        <w:t>.</w:t>
      </w:r>
    </w:p>
    <w:p w14:paraId="34BAB2C7" w14:textId="77777777" w:rsidR="00CA1467" w:rsidRPr="000F751A" w:rsidRDefault="00CA1467" w:rsidP="00CA1467">
      <w:pPr>
        <w:shd w:val="clear" w:color="auto" w:fill="FFFFFF"/>
        <w:spacing w:line="360" w:lineRule="atLeast"/>
        <w:ind w:left="720"/>
        <w:rPr>
          <w:rFonts w:cs="Arial"/>
          <w:color w:val="000000"/>
          <w:szCs w:val="24"/>
          <w:lang w:val="en" w:eastAsia="en-GB"/>
        </w:rPr>
      </w:pPr>
    </w:p>
    <w:p w14:paraId="34BAB2C8" w14:textId="77777777" w:rsidR="00CA1467" w:rsidRPr="000F751A" w:rsidRDefault="00031C54" w:rsidP="00CA1467">
      <w:pPr>
        <w:numPr>
          <w:ilvl w:val="2"/>
          <w:numId w:val="13"/>
        </w:numPr>
        <w:shd w:val="clear" w:color="auto" w:fill="FFFFFF"/>
        <w:overflowPunct w:val="0"/>
        <w:autoSpaceDE w:val="0"/>
        <w:autoSpaceDN w:val="0"/>
        <w:adjustRightInd w:val="0"/>
        <w:spacing w:line="360" w:lineRule="atLeast"/>
        <w:jc w:val="both"/>
        <w:textAlignment w:val="baseline"/>
        <w:rPr>
          <w:rFonts w:cs="Arial"/>
          <w:color w:val="000000"/>
          <w:szCs w:val="24"/>
          <w:lang w:val="en" w:eastAsia="en-GB"/>
        </w:rPr>
      </w:pPr>
      <w:r w:rsidRPr="000F751A">
        <w:rPr>
          <w:rFonts w:cs="Arial"/>
          <w:szCs w:val="24"/>
        </w:rPr>
        <w:t xml:space="preserve">Section 81(2) of the Act requires the local housing authority to </w:t>
      </w:r>
      <w:r w:rsidRPr="000F751A">
        <w:rPr>
          <w:rFonts w:cs="Arial"/>
          <w:i/>
          <w:szCs w:val="24"/>
        </w:rPr>
        <w:t xml:space="preserve">“ensure that any exercise of the power (selective licensing designation) is consistent with the authority’s overall housing strategy.” </w:t>
      </w:r>
      <w:r w:rsidRPr="000F751A">
        <w:rPr>
          <w:rFonts w:cs="Arial"/>
          <w:szCs w:val="24"/>
        </w:rPr>
        <w:t xml:space="preserve"> Section 81(3) of the Act goes on to require that the authority seeks to adopt a co-ordinated approach in connection with dealing with homelessness, empty properties and anti-social behaviour.</w:t>
      </w:r>
    </w:p>
    <w:p w14:paraId="34BAB2C9" w14:textId="77777777" w:rsidR="00CA1467" w:rsidRPr="000F751A" w:rsidRDefault="00CA1467" w:rsidP="00CA1467">
      <w:pPr>
        <w:ind w:left="720"/>
        <w:rPr>
          <w:rFonts w:cs="Arial"/>
          <w:szCs w:val="24"/>
        </w:rPr>
      </w:pPr>
    </w:p>
    <w:p w14:paraId="34BAB2CA" w14:textId="77777777" w:rsidR="00CA1467" w:rsidRPr="000F751A" w:rsidRDefault="00031C54" w:rsidP="00CA1467">
      <w:pPr>
        <w:numPr>
          <w:ilvl w:val="2"/>
          <w:numId w:val="13"/>
        </w:numPr>
        <w:shd w:val="clear" w:color="auto" w:fill="FFFFFF"/>
        <w:overflowPunct w:val="0"/>
        <w:autoSpaceDE w:val="0"/>
        <w:autoSpaceDN w:val="0"/>
        <w:adjustRightInd w:val="0"/>
        <w:spacing w:line="360" w:lineRule="atLeast"/>
        <w:jc w:val="both"/>
        <w:textAlignment w:val="baseline"/>
        <w:rPr>
          <w:rFonts w:cs="Arial"/>
          <w:color w:val="000000"/>
          <w:szCs w:val="24"/>
          <w:lang w:val="en" w:eastAsia="en-GB"/>
        </w:rPr>
      </w:pPr>
      <w:r w:rsidRPr="000F751A">
        <w:rPr>
          <w:rFonts w:cs="Arial"/>
          <w:szCs w:val="24"/>
        </w:rPr>
        <w:t xml:space="preserve">Section 81(4) of the Act states that a designation should not be made unless the authority:  </w:t>
      </w:r>
    </w:p>
    <w:p w14:paraId="34BAB2CB"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t>“(a)     …have considered whether there are any other courses of action available to them (of whatever nature) that might provide an effective method of achieving the objective or objectives that the designation would be intended to achieve, and</w:t>
      </w:r>
    </w:p>
    <w:p w14:paraId="34BAB2CC"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t>(b)     they consider that making the designation will significantly assist them to achieve the objective or objectives (whether or not they take any other course of action as well).”</w:t>
      </w:r>
    </w:p>
    <w:p w14:paraId="34BAB2CD" w14:textId="77777777" w:rsidR="00CA1467" w:rsidRPr="000F751A" w:rsidRDefault="00031C54" w:rsidP="00CA1467">
      <w:pPr>
        <w:numPr>
          <w:ilvl w:val="2"/>
          <w:numId w:val="13"/>
        </w:numPr>
        <w:overflowPunct w:val="0"/>
        <w:autoSpaceDE w:val="0"/>
        <w:autoSpaceDN w:val="0"/>
        <w:adjustRightInd w:val="0"/>
        <w:spacing w:before="210"/>
        <w:ind w:right="225"/>
        <w:jc w:val="both"/>
        <w:textAlignment w:val="baseline"/>
        <w:rPr>
          <w:rFonts w:cs="Arial"/>
          <w:color w:val="000000"/>
          <w:szCs w:val="24"/>
          <w:lang w:eastAsia="en-GB"/>
        </w:rPr>
      </w:pPr>
      <w:r w:rsidRPr="000F751A">
        <w:rPr>
          <w:rFonts w:cs="Arial"/>
          <w:color w:val="000000"/>
          <w:szCs w:val="24"/>
          <w:lang w:eastAsia="en-GB"/>
        </w:rPr>
        <w:t>In addition, under the Selective Licensing of Housing (Additional Conditions) (England) Order 2015, article 3 requires:</w:t>
      </w:r>
    </w:p>
    <w:p w14:paraId="34BAB2CE"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t>“(1)     The following conditions are specified as additional conditions for the purposes of section 80(2)(b) of the 2004 Act, which a local housing authority must consider are satisfied in relation to the area before making a selective licensing designation under this provision—</w:t>
      </w:r>
    </w:p>
    <w:p w14:paraId="34BAB2CF"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t>(a)     that the area contains a high proportion of properties in the private rented sector, in relation to the total number of properties in the area;</w:t>
      </w:r>
    </w:p>
    <w:p w14:paraId="34BAB2D0"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t>(b)     that the properties referred to in sub-paragraph (a) are occupied either under assured tenancies or licences to occupy; and</w:t>
      </w:r>
    </w:p>
    <w:p w14:paraId="34BAB2D1"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lastRenderedPageBreak/>
        <w:t>(c)     that one or more of the sets of conditions in articles 4 to 7 is satisfied.</w:t>
      </w:r>
    </w:p>
    <w:p w14:paraId="34BAB2D2" w14:textId="77777777" w:rsidR="00CA1467" w:rsidRPr="000F751A" w:rsidRDefault="00031C54" w:rsidP="00CA1467">
      <w:pPr>
        <w:spacing w:before="210"/>
        <w:ind w:left="720" w:right="225"/>
        <w:rPr>
          <w:rFonts w:cs="Arial"/>
          <w:i/>
          <w:color w:val="000000"/>
          <w:szCs w:val="24"/>
          <w:lang w:eastAsia="en-GB"/>
        </w:rPr>
      </w:pPr>
      <w:r w:rsidRPr="000F751A">
        <w:rPr>
          <w:rFonts w:cs="Arial"/>
          <w:i/>
          <w:color w:val="000000"/>
          <w:szCs w:val="24"/>
          <w:lang w:eastAsia="en-GB"/>
        </w:rPr>
        <w:t xml:space="preserve">(2)     For the purposes of this article, a property shall not be regarded as being in the private rented sector where the landlord is a private registered provider of social housing, as defined by </w:t>
      </w:r>
      <w:r w:rsidRPr="000F751A">
        <w:rPr>
          <w:rFonts w:cs="Arial"/>
          <w:i/>
          <w:szCs w:val="24"/>
          <w:lang w:eastAsia="en-GB"/>
        </w:rPr>
        <w:t>section 80</w:t>
      </w:r>
      <w:r w:rsidRPr="000F751A">
        <w:rPr>
          <w:rFonts w:cs="Arial"/>
          <w:i/>
          <w:color w:val="000000"/>
          <w:szCs w:val="24"/>
          <w:lang w:eastAsia="en-GB"/>
        </w:rPr>
        <w:t xml:space="preserve"> of the Housing and Regeneration Act 2008.”</w:t>
      </w:r>
    </w:p>
    <w:p w14:paraId="34BAB2D3" w14:textId="77777777" w:rsidR="00CA1467" w:rsidRPr="00F32D7D" w:rsidRDefault="00031C54" w:rsidP="00CA1467">
      <w:pPr>
        <w:numPr>
          <w:ilvl w:val="2"/>
          <w:numId w:val="13"/>
        </w:numPr>
        <w:overflowPunct w:val="0"/>
        <w:autoSpaceDE w:val="0"/>
        <w:autoSpaceDN w:val="0"/>
        <w:adjustRightInd w:val="0"/>
        <w:spacing w:before="210"/>
        <w:ind w:right="225"/>
        <w:jc w:val="both"/>
        <w:textAlignment w:val="baseline"/>
        <w:rPr>
          <w:rFonts w:cs="Arial"/>
          <w:szCs w:val="24"/>
          <w:lang w:eastAsia="en-GB"/>
        </w:rPr>
      </w:pPr>
      <w:r w:rsidRPr="000F751A">
        <w:rPr>
          <w:rFonts w:cs="Arial"/>
          <w:color w:val="000000"/>
          <w:szCs w:val="24"/>
          <w:lang w:eastAsia="en-GB"/>
        </w:rPr>
        <w:t xml:space="preserve">Articles 4-7 cover conditions relating to housing conditions, migration, deprivation, and crime. </w:t>
      </w:r>
      <w:r w:rsidRPr="00BD272A">
        <w:rPr>
          <w:rFonts w:cs="Arial"/>
          <w:szCs w:val="24"/>
          <w:lang w:eastAsia="en-GB"/>
        </w:rPr>
        <w:t>From 1 April 2015, a local housing authority will need to apply to the Secretary of State for Communities and Local Government for confirmation of any scheme which would cover more than 20% of its geographical area or that would affect more than 20% of privately rented homes in their area.  The proposed designation in this case will not require Secretary of State confirmation.</w:t>
      </w:r>
    </w:p>
    <w:p w14:paraId="34BAB2D4" w14:textId="77777777" w:rsidR="00CA1467" w:rsidRPr="000F751A" w:rsidRDefault="00031C54" w:rsidP="00CA1467">
      <w:pPr>
        <w:spacing w:before="210"/>
        <w:ind w:right="225"/>
        <w:rPr>
          <w:rFonts w:cs="Arial"/>
          <w:b/>
          <w:szCs w:val="24"/>
          <w:lang w:eastAsia="en-GB"/>
        </w:rPr>
      </w:pPr>
      <w:r w:rsidRPr="000F751A">
        <w:rPr>
          <w:rFonts w:cs="Arial"/>
          <w:b/>
          <w:szCs w:val="24"/>
          <w:lang w:eastAsia="en-GB"/>
        </w:rPr>
        <w:t>Commencement, duration and notification</w:t>
      </w:r>
    </w:p>
    <w:p w14:paraId="34BAB2D5" w14:textId="77777777" w:rsidR="00CA1467" w:rsidRPr="000F751A" w:rsidRDefault="00031C54" w:rsidP="00CA1467">
      <w:pPr>
        <w:numPr>
          <w:ilvl w:val="2"/>
          <w:numId w:val="13"/>
        </w:numPr>
        <w:overflowPunct w:val="0"/>
        <w:autoSpaceDE w:val="0"/>
        <w:autoSpaceDN w:val="0"/>
        <w:adjustRightInd w:val="0"/>
        <w:spacing w:before="210"/>
        <w:ind w:right="225"/>
        <w:jc w:val="both"/>
        <w:textAlignment w:val="baseline"/>
        <w:rPr>
          <w:rFonts w:cs="Arial"/>
          <w:szCs w:val="24"/>
          <w:lang w:eastAsia="en-GB"/>
        </w:rPr>
      </w:pPr>
      <w:r w:rsidRPr="000F751A">
        <w:rPr>
          <w:rFonts w:cs="Arial"/>
          <w:szCs w:val="24"/>
          <w:lang w:eastAsia="en-GB"/>
        </w:rPr>
        <w:t>Under section 82 of the Act, a designation cannot come in to force earlier than 3 months after the date on which the designation is made.   Any designation cannot be for no longer than a 5 year period and the local housing authority is expected to review the operation of the designation from time to time, and can revoke it if appropriate (section 84).</w:t>
      </w:r>
    </w:p>
    <w:p w14:paraId="34BAB2D6" w14:textId="77777777" w:rsidR="00CA1467" w:rsidRPr="000F751A" w:rsidRDefault="00031C54" w:rsidP="00CA1467">
      <w:pPr>
        <w:numPr>
          <w:ilvl w:val="2"/>
          <w:numId w:val="13"/>
        </w:numPr>
        <w:overflowPunct w:val="0"/>
        <w:autoSpaceDE w:val="0"/>
        <w:autoSpaceDN w:val="0"/>
        <w:adjustRightInd w:val="0"/>
        <w:spacing w:before="210"/>
        <w:ind w:right="225"/>
        <w:jc w:val="both"/>
        <w:textAlignment w:val="baseline"/>
        <w:rPr>
          <w:rFonts w:cs="Arial"/>
          <w:szCs w:val="24"/>
        </w:rPr>
      </w:pPr>
      <w:r w:rsidRPr="000F751A">
        <w:rPr>
          <w:rFonts w:cs="Arial"/>
          <w:szCs w:val="24"/>
          <w:lang w:eastAsia="en-GB"/>
        </w:rPr>
        <w:t>As soon as a designation is made, the authority is required to publicise this in accordance with the requirements of section 83 of the Act.</w:t>
      </w:r>
    </w:p>
    <w:p w14:paraId="34BAB2D8" w14:textId="77777777" w:rsidR="00CA1467" w:rsidRDefault="00CA1467" w:rsidP="00CA1467">
      <w:pPr>
        <w:rPr>
          <w:rFonts w:cs="Arial"/>
          <w:b/>
          <w:szCs w:val="24"/>
        </w:rPr>
      </w:pPr>
    </w:p>
    <w:p w14:paraId="34BAB2D9" w14:textId="77777777" w:rsidR="00CA1467" w:rsidRPr="000F751A" w:rsidRDefault="00031C54" w:rsidP="00CA1467">
      <w:pPr>
        <w:rPr>
          <w:rFonts w:cs="Arial"/>
          <w:b/>
          <w:szCs w:val="24"/>
        </w:rPr>
      </w:pPr>
      <w:r w:rsidRPr="000F751A">
        <w:rPr>
          <w:rFonts w:cs="Arial"/>
          <w:b/>
          <w:szCs w:val="24"/>
        </w:rPr>
        <w:t>Conditions</w:t>
      </w:r>
    </w:p>
    <w:p w14:paraId="34BAB2DA" w14:textId="77777777" w:rsidR="00CA1467" w:rsidRPr="000F751A" w:rsidRDefault="00CA1467" w:rsidP="00CA1467">
      <w:pPr>
        <w:rPr>
          <w:rFonts w:cs="Arial"/>
          <w:b/>
          <w:szCs w:val="24"/>
        </w:rPr>
      </w:pPr>
    </w:p>
    <w:p w14:paraId="302D494E" w14:textId="4C0A1E9B" w:rsidR="001D6997" w:rsidRDefault="00031C54" w:rsidP="001D6997">
      <w:pPr>
        <w:numPr>
          <w:ilvl w:val="2"/>
          <w:numId w:val="14"/>
        </w:numPr>
        <w:overflowPunct w:val="0"/>
        <w:autoSpaceDE w:val="0"/>
        <w:autoSpaceDN w:val="0"/>
        <w:adjustRightInd w:val="0"/>
        <w:jc w:val="both"/>
        <w:textAlignment w:val="baseline"/>
        <w:rPr>
          <w:rFonts w:cs="Arial"/>
          <w:szCs w:val="24"/>
        </w:rPr>
      </w:pPr>
      <w:r w:rsidRPr="000F751A">
        <w:rPr>
          <w:rFonts w:cs="Arial"/>
          <w:szCs w:val="24"/>
        </w:rPr>
        <w:t xml:space="preserve">Section 90 of the </w:t>
      </w:r>
      <w:r w:rsidR="001D6997">
        <w:rPr>
          <w:rFonts w:cs="Arial"/>
          <w:szCs w:val="24"/>
        </w:rPr>
        <w:t xml:space="preserve">Housing </w:t>
      </w:r>
      <w:r w:rsidRPr="000F751A">
        <w:rPr>
          <w:rFonts w:cs="Arial"/>
          <w:szCs w:val="24"/>
        </w:rPr>
        <w:t>Act</w:t>
      </w:r>
      <w:r w:rsidR="001D6997">
        <w:rPr>
          <w:rFonts w:cs="Arial"/>
          <w:szCs w:val="24"/>
        </w:rPr>
        <w:t xml:space="preserve"> 2004</w:t>
      </w:r>
      <w:r w:rsidRPr="000F751A">
        <w:rPr>
          <w:rFonts w:cs="Arial"/>
          <w:szCs w:val="24"/>
        </w:rPr>
        <w:t xml:space="preserve"> states that a </w:t>
      </w:r>
      <w:r w:rsidRPr="000F751A">
        <w:rPr>
          <w:rFonts w:cs="Arial"/>
          <w:color w:val="000000"/>
          <w:szCs w:val="24"/>
        </w:rPr>
        <w:t>licence can include such conditions as the local housing authority consider appropriate for regulating the management, use or occupation of the house concerned, and section</w:t>
      </w:r>
      <w:r w:rsidRPr="000F751A">
        <w:rPr>
          <w:rFonts w:cs="Arial"/>
          <w:szCs w:val="24"/>
        </w:rPr>
        <w:t xml:space="preserve"> 9</w:t>
      </w:r>
      <w:r w:rsidR="001D6997">
        <w:rPr>
          <w:rFonts w:cs="Arial"/>
          <w:szCs w:val="24"/>
        </w:rPr>
        <w:t>0(4)</w:t>
      </w:r>
      <w:r w:rsidRPr="000F751A">
        <w:rPr>
          <w:rFonts w:cs="Arial"/>
          <w:szCs w:val="24"/>
        </w:rPr>
        <w:t xml:space="preserve"> of the Act sets out </w:t>
      </w:r>
      <w:r w:rsidR="001D6997">
        <w:rPr>
          <w:rFonts w:cs="Arial"/>
          <w:szCs w:val="24"/>
        </w:rPr>
        <w:t>mandatory</w:t>
      </w:r>
      <w:r w:rsidRPr="000F751A">
        <w:rPr>
          <w:rFonts w:cs="Arial"/>
          <w:szCs w:val="24"/>
        </w:rPr>
        <w:t xml:space="preserve"> conditions that apply to </w:t>
      </w:r>
      <w:r w:rsidR="001D6997">
        <w:rPr>
          <w:rFonts w:cs="Arial"/>
          <w:szCs w:val="24"/>
        </w:rPr>
        <w:t xml:space="preserve">all </w:t>
      </w:r>
      <w:r w:rsidRPr="000F751A">
        <w:rPr>
          <w:rFonts w:cs="Arial"/>
          <w:szCs w:val="24"/>
        </w:rPr>
        <w:t xml:space="preserve">licences.  </w:t>
      </w:r>
      <w:r w:rsidR="001D6997">
        <w:rPr>
          <w:rFonts w:cs="Arial"/>
          <w:szCs w:val="24"/>
        </w:rPr>
        <w:t>These are set out as conditions to the licence as seen in Appendix D</w:t>
      </w:r>
      <w:r w:rsidR="00482CC8">
        <w:rPr>
          <w:rFonts w:cs="Arial"/>
          <w:szCs w:val="24"/>
        </w:rPr>
        <w:t>.</w:t>
      </w:r>
    </w:p>
    <w:p w14:paraId="513D7F66" w14:textId="77777777" w:rsidR="001D6997" w:rsidRDefault="001D6997" w:rsidP="001D6997">
      <w:pPr>
        <w:overflowPunct w:val="0"/>
        <w:autoSpaceDE w:val="0"/>
        <w:autoSpaceDN w:val="0"/>
        <w:adjustRightInd w:val="0"/>
        <w:ind w:left="720"/>
        <w:jc w:val="both"/>
        <w:textAlignment w:val="baseline"/>
        <w:rPr>
          <w:rFonts w:cs="Arial"/>
          <w:szCs w:val="24"/>
        </w:rPr>
      </w:pPr>
    </w:p>
    <w:p w14:paraId="6644198A" w14:textId="3B450769" w:rsidR="001D6997" w:rsidRPr="007E5C9C" w:rsidRDefault="001D6997" w:rsidP="001D6997">
      <w:pPr>
        <w:numPr>
          <w:ilvl w:val="2"/>
          <w:numId w:val="14"/>
        </w:numPr>
        <w:overflowPunct w:val="0"/>
        <w:autoSpaceDE w:val="0"/>
        <w:autoSpaceDN w:val="0"/>
        <w:adjustRightInd w:val="0"/>
        <w:jc w:val="both"/>
        <w:textAlignment w:val="baseline"/>
        <w:rPr>
          <w:rFonts w:cs="Arial"/>
          <w:color w:val="000000" w:themeColor="text1"/>
          <w:szCs w:val="24"/>
        </w:rPr>
      </w:pPr>
      <w:r w:rsidRPr="007E5C9C">
        <w:rPr>
          <w:rFonts w:cs="Arial"/>
          <w:color w:val="000000" w:themeColor="text1"/>
          <w:szCs w:val="24"/>
          <w:lang w:eastAsia="en-GB"/>
        </w:rPr>
        <w:t>Section 90(5)(a) provides that, as regards the relationship between the authority’s power to impose licence conditions and their Part 1, 2004 Act functions (Housing Health and Safety Rating System), the authority must proceed on the basis that, in general, they should seek to identify, remove or reduce “hazards” in the house by means of Part 1 functions and not by means of licence conditions</w:t>
      </w:r>
      <w:r w:rsidR="00482CC8">
        <w:rPr>
          <w:rFonts w:cs="Arial"/>
          <w:color w:val="000000" w:themeColor="text1"/>
          <w:szCs w:val="24"/>
          <w:lang w:eastAsia="en-GB"/>
        </w:rPr>
        <w:t>.</w:t>
      </w:r>
    </w:p>
    <w:p w14:paraId="34BAB2DE" w14:textId="77777777" w:rsidR="00CA1467" w:rsidRPr="000F751A" w:rsidRDefault="00CA1467" w:rsidP="00CA1467">
      <w:pPr>
        <w:overflowPunct w:val="0"/>
        <w:autoSpaceDE w:val="0"/>
        <w:autoSpaceDN w:val="0"/>
        <w:adjustRightInd w:val="0"/>
        <w:ind w:left="720"/>
        <w:jc w:val="both"/>
        <w:textAlignment w:val="baseline"/>
        <w:rPr>
          <w:rFonts w:cs="Arial"/>
          <w:szCs w:val="24"/>
        </w:rPr>
      </w:pPr>
    </w:p>
    <w:p w14:paraId="34BAB2DF" w14:textId="77777777" w:rsidR="00CA1467" w:rsidRDefault="00031C54" w:rsidP="00CA1467">
      <w:pPr>
        <w:numPr>
          <w:ilvl w:val="2"/>
          <w:numId w:val="14"/>
        </w:numPr>
        <w:overflowPunct w:val="0"/>
        <w:autoSpaceDE w:val="0"/>
        <w:autoSpaceDN w:val="0"/>
        <w:adjustRightInd w:val="0"/>
        <w:jc w:val="both"/>
        <w:textAlignment w:val="baseline"/>
        <w:rPr>
          <w:rFonts w:cs="Arial"/>
          <w:szCs w:val="24"/>
        </w:rPr>
      </w:pPr>
      <w:r w:rsidRPr="000F751A">
        <w:rPr>
          <w:rFonts w:cs="Arial"/>
          <w:szCs w:val="24"/>
        </w:rPr>
        <w:t xml:space="preserve">There are procedures under the Act relating to appeals against decisions relating to licences, and the Act also sets out offences (and other consequences) relating to licensing requirements. </w:t>
      </w:r>
    </w:p>
    <w:p w14:paraId="34BAB2E0" w14:textId="77777777" w:rsidR="00CA1467" w:rsidRDefault="00CA1467" w:rsidP="00CA1467">
      <w:pPr>
        <w:ind w:left="465"/>
        <w:rPr>
          <w:rFonts w:cs="Arial"/>
          <w:b/>
          <w:szCs w:val="24"/>
        </w:rPr>
      </w:pPr>
    </w:p>
    <w:p w14:paraId="34BAB2E1" w14:textId="77777777" w:rsidR="00CA1467" w:rsidRPr="000F751A" w:rsidRDefault="00031C54" w:rsidP="00CA1467">
      <w:pPr>
        <w:ind w:left="465"/>
        <w:rPr>
          <w:rFonts w:cs="Arial"/>
          <w:b/>
          <w:szCs w:val="24"/>
        </w:rPr>
      </w:pPr>
      <w:r w:rsidRPr="000F751A">
        <w:rPr>
          <w:rFonts w:cs="Arial"/>
          <w:b/>
          <w:szCs w:val="24"/>
        </w:rPr>
        <w:t>Relevant case law</w:t>
      </w:r>
    </w:p>
    <w:p w14:paraId="34BAB2E2" w14:textId="77777777" w:rsidR="00CA1467" w:rsidRDefault="00CA1467" w:rsidP="00CA1467">
      <w:pPr>
        <w:pStyle w:val="ListParagraph"/>
        <w:rPr>
          <w:rFonts w:cs="Arial"/>
          <w:szCs w:val="24"/>
        </w:rPr>
      </w:pPr>
    </w:p>
    <w:p w14:paraId="34BAB2E3" w14:textId="77777777" w:rsidR="00CA1467" w:rsidRPr="00DB215A" w:rsidRDefault="00031C54" w:rsidP="00CA1467">
      <w:pPr>
        <w:numPr>
          <w:ilvl w:val="2"/>
          <w:numId w:val="14"/>
        </w:numPr>
        <w:overflowPunct w:val="0"/>
        <w:autoSpaceDE w:val="0"/>
        <w:autoSpaceDN w:val="0"/>
        <w:adjustRightInd w:val="0"/>
        <w:jc w:val="both"/>
        <w:textAlignment w:val="baseline"/>
        <w:rPr>
          <w:rFonts w:cs="Arial"/>
          <w:szCs w:val="24"/>
        </w:rPr>
      </w:pPr>
      <w:r w:rsidRPr="00DB215A">
        <w:rPr>
          <w:rFonts w:cs="Arial"/>
          <w:szCs w:val="24"/>
        </w:rPr>
        <w:t xml:space="preserve">Recent case law on the subject of selective licensing schemes has raised challenges against local authorities on issues such as: </w:t>
      </w:r>
    </w:p>
    <w:p w14:paraId="34BAB2E4" w14:textId="77777777" w:rsidR="00CA1467" w:rsidRPr="000F751A" w:rsidRDefault="00CA1467" w:rsidP="00CA1467">
      <w:pPr>
        <w:overflowPunct w:val="0"/>
        <w:autoSpaceDE w:val="0"/>
        <w:autoSpaceDN w:val="0"/>
        <w:adjustRightInd w:val="0"/>
        <w:jc w:val="both"/>
        <w:textAlignment w:val="baseline"/>
        <w:rPr>
          <w:rFonts w:cs="Arial"/>
          <w:szCs w:val="24"/>
        </w:rPr>
      </w:pPr>
    </w:p>
    <w:p w14:paraId="34BAB2E5" w14:textId="77777777" w:rsidR="00CA1467" w:rsidRDefault="00031C54" w:rsidP="00CA1467">
      <w:pPr>
        <w:numPr>
          <w:ilvl w:val="0"/>
          <w:numId w:val="26"/>
        </w:numPr>
        <w:overflowPunct w:val="0"/>
        <w:autoSpaceDE w:val="0"/>
        <w:autoSpaceDN w:val="0"/>
        <w:adjustRightInd w:val="0"/>
        <w:jc w:val="both"/>
        <w:textAlignment w:val="baseline"/>
        <w:rPr>
          <w:rFonts w:cs="Arial"/>
          <w:szCs w:val="24"/>
        </w:rPr>
      </w:pPr>
      <w:r w:rsidRPr="000F751A">
        <w:rPr>
          <w:rFonts w:cs="Arial"/>
          <w:szCs w:val="24"/>
        </w:rPr>
        <w:t>compliance with the consultation requirements (adequacy of consultation, length of it, who was consulted and how long before the de</w:t>
      </w:r>
      <w:r>
        <w:rPr>
          <w:rFonts w:cs="Arial"/>
          <w:szCs w:val="24"/>
        </w:rPr>
        <w:t xml:space="preserve">signation it was obtained); </w:t>
      </w:r>
    </w:p>
    <w:p w14:paraId="34BAB2E6" w14:textId="77777777" w:rsidR="00CA1467" w:rsidRDefault="00031C54" w:rsidP="00CA1467">
      <w:pPr>
        <w:numPr>
          <w:ilvl w:val="0"/>
          <w:numId w:val="26"/>
        </w:numPr>
        <w:overflowPunct w:val="0"/>
        <w:autoSpaceDE w:val="0"/>
        <w:autoSpaceDN w:val="0"/>
        <w:adjustRightInd w:val="0"/>
        <w:jc w:val="both"/>
        <w:textAlignment w:val="baseline"/>
        <w:rPr>
          <w:rFonts w:cs="Arial"/>
          <w:szCs w:val="24"/>
        </w:rPr>
      </w:pPr>
      <w:r w:rsidRPr="00DB215A">
        <w:rPr>
          <w:rFonts w:cs="Arial"/>
          <w:szCs w:val="24"/>
        </w:rPr>
        <w:t xml:space="preserve">the level of evidence to support a selective licensing scheme; and </w:t>
      </w:r>
    </w:p>
    <w:p w14:paraId="34BAB2E7" w14:textId="77777777" w:rsidR="00CA1467" w:rsidRPr="00DB215A" w:rsidRDefault="00031C54" w:rsidP="00CA1467">
      <w:pPr>
        <w:numPr>
          <w:ilvl w:val="0"/>
          <w:numId w:val="26"/>
        </w:numPr>
        <w:overflowPunct w:val="0"/>
        <w:autoSpaceDE w:val="0"/>
        <w:autoSpaceDN w:val="0"/>
        <w:adjustRightInd w:val="0"/>
        <w:jc w:val="both"/>
        <w:textAlignment w:val="baseline"/>
        <w:rPr>
          <w:rFonts w:cs="Arial"/>
          <w:szCs w:val="24"/>
        </w:rPr>
      </w:pPr>
      <w:r w:rsidRPr="00DB215A">
        <w:rPr>
          <w:rFonts w:cs="Arial"/>
          <w:szCs w:val="24"/>
        </w:rPr>
        <w:t>inadequate consideration of alternative options to a selective licensing scheme.</w:t>
      </w:r>
    </w:p>
    <w:p w14:paraId="34BAB2E8" w14:textId="77777777" w:rsidR="00CA1467" w:rsidRPr="00DB215A" w:rsidRDefault="00CA1467" w:rsidP="00CA1467">
      <w:pPr>
        <w:overflowPunct w:val="0"/>
        <w:autoSpaceDE w:val="0"/>
        <w:autoSpaceDN w:val="0"/>
        <w:adjustRightInd w:val="0"/>
        <w:ind w:left="720"/>
        <w:jc w:val="both"/>
        <w:textAlignment w:val="baseline"/>
        <w:rPr>
          <w:rFonts w:cs="Arial"/>
          <w:szCs w:val="24"/>
        </w:rPr>
      </w:pPr>
    </w:p>
    <w:p w14:paraId="34BAB2E9" w14:textId="6E7EBDD0" w:rsidR="00CA1467" w:rsidRPr="00C1497D" w:rsidRDefault="00CA1467" w:rsidP="00CA1467">
      <w:pPr>
        <w:autoSpaceDE w:val="0"/>
        <w:autoSpaceDN w:val="0"/>
        <w:adjustRightInd w:val="0"/>
        <w:rPr>
          <w:rFonts w:cs="Arial"/>
          <w:szCs w:val="24"/>
          <w:lang w:eastAsia="en-GB"/>
        </w:rPr>
      </w:pPr>
    </w:p>
    <w:p w14:paraId="34BAB2EA" w14:textId="77777777" w:rsidR="00CA1467" w:rsidRPr="00F97F45" w:rsidRDefault="00031C54" w:rsidP="00CA1467">
      <w:pPr>
        <w:pStyle w:val="Heading2"/>
        <w:rPr>
          <w:sz w:val="32"/>
        </w:rPr>
      </w:pPr>
      <w:r w:rsidRPr="00F97F45">
        <w:rPr>
          <w:sz w:val="32"/>
        </w:rPr>
        <w:t>8. Financial Implications</w:t>
      </w:r>
    </w:p>
    <w:p w14:paraId="34BAB2EB" w14:textId="77777777" w:rsidR="00CA1467" w:rsidRDefault="00CA1467" w:rsidP="00CA1467"/>
    <w:p w14:paraId="34BAB2EC" w14:textId="77777777" w:rsidR="00CA1467" w:rsidRPr="00B36E7B" w:rsidRDefault="00031C54" w:rsidP="00CA1467">
      <w:pPr>
        <w:numPr>
          <w:ilvl w:val="0"/>
          <w:numId w:val="15"/>
        </w:numPr>
        <w:rPr>
          <w:rFonts w:cs="Arial"/>
          <w:i/>
          <w:iCs/>
          <w:szCs w:val="24"/>
        </w:rPr>
      </w:pPr>
      <w:r>
        <w:rPr>
          <w:rFonts w:cs="Arial"/>
          <w:szCs w:val="24"/>
        </w:rPr>
        <w:t xml:space="preserve">Section 87(7) of the Housing Act 2004 states that </w:t>
      </w:r>
      <w:r w:rsidRPr="00B36E7B">
        <w:rPr>
          <w:rFonts w:cs="Arial"/>
          <w:i/>
          <w:iCs/>
          <w:szCs w:val="24"/>
        </w:rPr>
        <w:t>“when fixing fees under this section, the local housing association may (subject to any regulations made under subsection (5)) take into account:</w:t>
      </w:r>
    </w:p>
    <w:p w14:paraId="34BAB2ED" w14:textId="77777777" w:rsidR="00CA1467" w:rsidRPr="00B36E7B" w:rsidRDefault="00CA1467" w:rsidP="00CA1467">
      <w:pPr>
        <w:rPr>
          <w:rFonts w:cs="Arial"/>
          <w:i/>
          <w:iCs/>
          <w:szCs w:val="24"/>
        </w:rPr>
      </w:pPr>
    </w:p>
    <w:p w14:paraId="34BAB2EE" w14:textId="77777777" w:rsidR="00CA1467" w:rsidRPr="00B36E7B" w:rsidRDefault="00031C54" w:rsidP="00CA1467">
      <w:pPr>
        <w:autoSpaceDE w:val="0"/>
        <w:autoSpaceDN w:val="0"/>
        <w:adjustRightInd w:val="0"/>
        <w:ind w:left="1440" w:hanging="720"/>
        <w:rPr>
          <w:rFonts w:cs="Arial"/>
          <w:i/>
          <w:iCs/>
          <w:szCs w:val="24"/>
          <w:lang w:eastAsia="en-GB"/>
        </w:rPr>
      </w:pPr>
      <w:r w:rsidRPr="00B36E7B">
        <w:rPr>
          <w:rFonts w:cs="Arial"/>
          <w:i/>
          <w:iCs/>
          <w:szCs w:val="24"/>
          <w:lang w:eastAsia="en-GB"/>
        </w:rPr>
        <w:t xml:space="preserve">(a) </w:t>
      </w:r>
      <w:r w:rsidRPr="00B36E7B">
        <w:rPr>
          <w:rFonts w:cs="Arial"/>
          <w:i/>
          <w:iCs/>
          <w:szCs w:val="24"/>
          <w:lang w:eastAsia="en-GB"/>
        </w:rPr>
        <w:tab/>
        <w:t>all costs incurred by the authority in carrying out their functions under this Part [i.e. Part 3 of the HA 2004 relating to selective licensing], and</w:t>
      </w:r>
    </w:p>
    <w:p w14:paraId="34BAB2EF" w14:textId="77777777" w:rsidR="00CA1467" w:rsidRPr="00B36E7B" w:rsidRDefault="00CA1467" w:rsidP="00CA1467">
      <w:pPr>
        <w:autoSpaceDE w:val="0"/>
        <w:autoSpaceDN w:val="0"/>
        <w:adjustRightInd w:val="0"/>
        <w:rPr>
          <w:rFonts w:cs="Arial"/>
          <w:i/>
          <w:iCs/>
          <w:szCs w:val="24"/>
          <w:lang w:eastAsia="en-GB"/>
        </w:rPr>
      </w:pPr>
    </w:p>
    <w:p w14:paraId="34BAB2F0" w14:textId="77777777" w:rsidR="00CA1467" w:rsidRPr="00B36E7B" w:rsidRDefault="00031C54" w:rsidP="00CA1467">
      <w:pPr>
        <w:autoSpaceDE w:val="0"/>
        <w:autoSpaceDN w:val="0"/>
        <w:adjustRightInd w:val="0"/>
        <w:ind w:left="1440" w:hanging="720"/>
        <w:rPr>
          <w:rFonts w:cs="Arial"/>
          <w:i/>
          <w:iCs/>
          <w:szCs w:val="24"/>
          <w:lang w:eastAsia="en-GB"/>
        </w:rPr>
      </w:pPr>
      <w:r w:rsidRPr="00B36E7B">
        <w:rPr>
          <w:rFonts w:cs="Arial"/>
          <w:i/>
          <w:iCs/>
          <w:szCs w:val="24"/>
          <w:lang w:eastAsia="en-GB"/>
        </w:rPr>
        <w:t xml:space="preserve">(b) </w:t>
      </w:r>
      <w:r w:rsidRPr="00B36E7B">
        <w:rPr>
          <w:rFonts w:cs="Arial"/>
          <w:i/>
          <w:iCs/>
          <w:szCs w:val="24"/>
          <w:lang w:eastAsia="en-GB"/>
        </w:rPr>
        <w:tab/>
        <w:t>all costs incurred by them in carrying out their functions under Chapter 1 of Part 4 in relation to Part 3 houses (so far as they are not recoverable under or by virtue of any provision of that Chapter)</w:t>
      </w:r>
      <w:r>
        <w:rPr>
          <w:rFonts w:cs="Arial"/>
          <w:i/>
          <w:iCs/>
          <w:szCs w:val="24"/>
          <w:lang w:eastAsia="en-GB"/>
        </w:rPr>
        <w:t>”</w:t>
      </w:r>
      <w:r w:rsidRPr="00B36E7B">
        <w:rPr>
          <w:rFonts w:cs="Arial"/>
          <w:i/>
          <w:iCs/>
          <w:szCs w:val="24"/>
          <w:lang w:eastAsia="en-GB"/>
        </w:rPr>
        <w:t>.</w:t>
      </w:r>
    </w:p>
    <w:p w14:paraId="34BAB2F1" w14:textId="77777777" w:rsidR="00CA1467" w:rsidRPr="005C0337" w:rsidRDefault="00CA1467" w:rsidP="00CA1467">
      <w:pPr>
        <w:autoSpaceDE w:val="0"/>
        <w:autoSpaceDN w:val="0"/>
        <w:adjustRightInd w:val="0"/>
        <w:rPr>
          <w:rFonts w:cs="Arial"/>
          <w:szCs w:val="24"/>
          <w:lang w:eastAsia="en-GB"/>
        </w:rPr>
      </w:pPr>
    </w:p>
    <w:p w14:paraId="34BAB2F2" w14:textId="77777777" w:rsidR="00CA1467" w:rsidRPr="00C1497D" w:rsidRDefault="00031C54" w:rsidP="00CA1467">
      <w:pPr>
        <w:numPr>
          <w:ilvl w:val="0"/>
          <w:numId w:val="15"/>
        </w:numPr>
        <w:autoSpaceDE w:val="0"/>
        <w:autoSpaceDN w:val="0"/>
        <w:adjustRightInd w:val="0"/>
        <w:rPr>
          <w:rFonts w:cs="Arial"/>
          <w:szCs w:val="24"/>
          <w:lang w:eastAsia="en-GB"/>
        </w:rPr>
      </w:pPr>
      <w:r w:rsidRPr="00C1497D">
        <w:rPr>
          <w:rFonts w:cs="Arial"/>
          <w:szCs w:val="24"/>
          <w:lang w:eastAsia="en-GB"/>
        </w:rPr>
        <w:t>However, the EU Directive and the Provision of Services Regulations 2009</w:t>
      </w:r>
      <w:r>
        <w:rPr>
          <w:rFonts w:cs="Arial"/>
          <w:szCs w:val="24"/>
          <w:lang w:eastAsia="en-GB"/>
        </w:rPr>
        <w:t xml:space="preserve"> </w:t>
      </w:r>
      <w:r w:rsidRPr="00C1497D">
        <w:rPr>
          <w:rFonts w:cs="Arial"/>
          <w:szCs w:val="24"/>
          <w:lang w:eastAsia="en-GB"/>
        </w:rPr>
        <w:t>which was subsequently passed states, at Regulation 18(4):</w:t>
      </w:r>
    </w:p>
    <w:p w14:paraId="34BAB2F3" w14:textId="77777777" w:rsidR="00CA1467" w:rsidRPr="00B36E7B" w:rsidRDefault="00CA1467" w:rsidP="00CA1467">
      <w:pPr>
        <w:autoSpaceDE w:val="0"/>
        <w:autoSpaceDN w:val="0"/>
        <w:adjustRightInd w:val="0"/>
        <w:rPr>
          <w:rFonts w:cs="Arial"/>
          <w:i/>
          <w:iCs/>
          <w:szCs w:val="24"/>
          <w:lang w:eastAsia="en-GB"/>
        </w:rPr>
      </w:pPr>
    </w:p>
    <w:p w14:paraId="34BAB2F4" w14:textId="77777777" w:rsidR="00CA1467" w:rsidRPr="00B36E7B" w:rsidRDefault="00031C54" w:rsidP="00CA1467">
      <w:pPr>
        <w:pStyle w:val="ListParagraph"/>
        <w:ind w:left="465"/>
        <w:rPr>
          <w:rFonts w:cs="Arial"/>
          <w:i/>
          <w:iCs/>
          <w:szCs w:val="24"/>
          <w:lang w:eastAsia="en-GB"/>
        </w:rPr>
      </w:pPr>
      <w:r w:rsidRPr="00B36E7B">
        <w:rPr>
          <w:rFonts w:cs="Arial"/>
          <w:i/>
          <w:iCs/>
          <w:szCs w:val="24"/>
          <w:lang w:eastAsia="en-GB"/>
        </w:rPr>
        <w:t>“Any charges provided for or by a competent authority which applicants may incur under an authorisation scheme must be reasonable and proportionate to the cost of the procedures and formalities under the scheme and must not exceed the cost of those procedures and formalities.”</w:t>
      </w:r>
    </w:p>
    <w:p w14:paraId="34BAB2F5" w14:textId="77777777" w:rsidR="00CA1467" w:rsidRDefault="00CA1467" w:rsidP="00CA1467">
      <w:pPr>
        <w:pStyle w:val="ListParagraph"/>
        <w:ind w:left="0"/>
        <w:rPr>
          <w:rFonts w:cs="Arial"/>
          <w:szCs w:val="24"/>
          <w:lang w:eastAsia="en-GB"/>
        </w:rPr>
      </w:pPr>
    </w:p>
    <w:p w14:paraId="34BAB2F6" w14:textId="5E6788F3" w:rsidR="00CA1467" w:rsidRDefault="00031C54" w:rsidP="00CA1467">
      <w:pPr>
        <w:numPr>
          <w:ilvl w:val="0"/>
          <w:numId w:val="15"/>
        </w:numPr>
        <w:autoSpaceDE w:val="0"/>
        <w:autoSpaceDN w:val="0"/>
        <w:adjustRightInd w:val="0"/>
        <w:rPr>
          <w:rFonts w:cs="Arial"/>
          <w:szCs w:val="24"/>
          <w:lang w:eastAsia="en-GB"/>
        </w:rPr>
      </w:pPr>
      <w:r>
        <w:rPr>
          <w:rFonts w:cs="Arial"/>
          <w:szCs w:val="24"/>
          <w:lang w:eastAsia="en-GB"/>
        </w:rPr>
        <w:t xml:space="preserve">In line with </w:t>
      </w:r>
      <w:r w:rsidRPr="00E80380">
        <w:rPr>
          <w:rFonts w:cs="Arial"/>
          <w:i/>
          <w:iCs/>
          <w:szCs w:val="24"/>
          <w:lang w:eastAsia="en-GB"/>
        </w:rPr>
        <w:t>Hemming v Westminster City Council</w:t>
      </w:r>
      <w:r>
        <w:rPr>
          <w:rFonts w:cs="Arial"/>
          <w:szCs w:val="24"/>
          <w:lang w:eastAsia="en-GB"/>
        </w:rPr>
        <w:t>, the fee is split into an administrative</w:t>
      </w:r>
      <w:r w:rsidR="00FB04E9">
        <w:rPr>
          <w:rFonts w:cs="Arial"/>
          <w:szCs w:val="24"/>
          <w:lang w:eastAsia="en-GB"/>
        </w:rPr>
        <w:t xml:space="preserve"> part</w:t>
      </w:r>
      <w:r>
        <w:rPr>
          <w:rFonts w:cs="Arial"/>
          <w:szCs w:val="24"/>
          <w:lang w:eastAsia="en-GB"/>
        </w:rPr>
        <w:t xml:space="preserve"> and </w:t>
      </w:r>
      <w:r w:rsidR="00FB04E9">
        <w:rPr>
          <w:rFonts w:cs="Arial"/>
          <w:szCs w:val="24"/>
          <w:lang w:eastAsia="en-GB"/>
        </w:rPr>
        <w:t xml:space="preserve">a </w:t>
      </w:r>
      <w:r>
        <w:rPr>
          <w:rFonts w:cs="Arial"/>
          <w:szCs w:val="24"/>
          <w:lang w:eastAsia="en-GB"/>
        </w:rPr>
        <w:t>management part.</w:t>
      </w:r>
    </w:p>
    <w:p w14:paraId="34BAB2F7" w14:textId="77777777" w:rsidR="00CA1467" w:rsidRDefault="00CA1467" w:rsidP="00CA1467">
      <w:pPr>
        <w:autoSpaceDE w:val="0"/>
        <w:autoSpaceDN w:val="0"/>
        <w:adjustRightInd w:val="0"/>
        <w:ind w:left="465"/>
        <w:rPr>
          <w:rFonts w:cs="Arial"/>
          <w:szCs w:val="24"/>
          <w:lang w:eastAsia="en-GB"/>
        </w:rPr>
      </w:pPr>
    </w:p>
    <w:p w14:paraId="34BAB2F8" w14:textId="77777777" w:rsidR="00CA1467" w:rsidRDefault="00031C54" w:rsidP="00CA1467">
      <w:pPr>
        <w:numPr>
          <w:ilvl w:val="0"/>
          <w:numId w:val="15"/>
        </w:numPr>
        <w:autoSpaceDE w:val="0"/>
        <w:autoSpaceDN w:val="0"/>
        <w:adjustRightInd w:val="0"/>
        <w:rPr>
          <w:rFonts w:cs="Arial"/>
          <w:szCs w:val="24"/>
          <w:lang w:eastAsia="en-GB"/>
        </w:rPr>
      </w:pPr>
      <w:r w:rsidRPr="00C1497D">
        <w:rPr>
          <w:rFonts w:cs="Arial"/>
          <w:szCs w:val="24"/>
          <w:lang w:eastAsia="en-GB"/>
        </w:rPr>
        <w:t>Once fees are set, the Council is expected to review its fees and adjust them where necessary to reflect previous deficits or surpluses.  It can take into account the cost of administering the licence over a 5 year period.</w:t>
      </w:r>
    </w:p>
    <w:p w14:paraId="34BAB2F9" w14:textId="77777777" w:rsidR="00CA1467" w:rsidRDefault="00CA1467" w:rsidP="00CA1467">
      <w:pPr>
        <w:pStyle w:val="ListParagraph"/>
        <w:rPr>
          <w:rFonts w:cs="Arial"/>
          <w:szCs w:val="24"/>
          <w:lang w:eastAsia="en-GB"/>
        </w:rPr>
      </w:pPr>
    </w:p>
    <w:p w14:paraId="34BAB2FA" w14:textId="77777777" w:rsidR="00CA1467" w:rsidRDefault="00031C54" w:rsidP="00CA1467">
      <w:pPr>
        <w:numPr>
          <w:ilvl w:val="0"/>
          <w:numId w:val="15"/>
        </w:numPr>
        <w:autoSpaceDE w:val="0"/>
        <w:autoSpaceDN w:val="0"/>
        <w:adjustRightInd w:val="0"/>
        <w:rPr>
          <w:rFonts w:cs="Arial"/>
          <w:szCs w:val="24"/>
          <w:lang w:eastAsia="en-GB"/>
        </w:rPr>
      </w:pPr>
      <w:r w:rsidRPr="00C1497D">
        <w:rPr>
          <w:rFonts w:cs="Arial"/>
          <w:szCs w:val="24"/>
          <w:lang w:eastAsia="en-GB"/>
        </w:rPr>
        <w:t>Based on the scheme intending to be self-financing, for the life of the licensing period (5 years), a fee is set at a level where the total revenue from the fee is intended to cover the costs as stated above</w:t>
      </w:r>
      <w:r>
        <w:rPr>
          <w:rFonts w:cs="Arial"/>
          <w:szCs w:val="24"/>
          <w:lang w:eastAsia="en-GB"/>
        </w:rPr>
        <w:t>.</w:t>
      </w:r>
    </w:p>
    <w:p w14:paraId="34BAB2FB" w14:textId="77777777" w:rsidR="00CA1467" w:rsidRDefault="00CA1467" w:rsidP="00CA1467">
      <w:pPr>
        <w:pStyle w:val="ListParagraph"/>
        <w:rPr>
          <w:rFonts w:cs="Arial"/>
          <w:szCs w:val="24"/>
          <w:lang w:eastAsia="en-GB"/>
        </w:rPr>
      </w:pPr>
    </w:p>
    <w:p w14:paraId="34BAB2FC" w14:textId="77777777" w:rsidR="00CA1467" w:rsidRDefault="00031C54" w:rsidP="00CA1467">
      <w:pPr>
        <w:numPr>
          <w:ilvl w:val="0"/>
          <w:numId w:val="15"/>
        </w:numPr>
        <w:autoSpaceDE w:val="0"/>
        <w:autoSpaceDN w:val="0"/>
        <w:adjustRightInd w:val="0"/>
        <w:rPr>
          <w:rFonts w:cs="Arial"/>
          <w:szCs w:val="24"/>
          <w:lang w:eastAsia="en-GB"/>
        </w:rPr>
      </w:pPr>
      <w:r w:rsidRPr="00C1497D">
        <w:rPr>
          <w:rFonts w:cs="Arial"/>
          <w:szCs w:val="24"/>
          <w:lang w:eastAsia="en-GB"/>
        </w:rPr>
        <w:t xml:space="preserve">An initial discount of £75 is proposed for landlords who are a member of an accredited landlord scheme. </w:t>
      </w:r>
      <w:r>
        <w:rPr>
          <w:rFonts w:cs="Arial"/>
          <w:szCs w:val="24"/>
          <w:lang w:eastAsia="en-GB"/>
        </w:rPr>
        <w:t>This is in line with recognising the DCLG guidance that Selective Licensing is to be used in conjunction with other action to improve the private rented sector.</w:t>
      </w:r>
      <w:r w:rsidRPr="00C1497D">
        <w:rPr>
          <w:rFonts w:cs="Arial"/>
          <w:szCs w:val="24"/>
          <w:lang w:eastAsia="en-GB"/>
        </w:rPr>
        <w:t xml:space="preserve"> </w:t>
      </w:r>
      <w:r>
        <w:rPr>
          <w:rFonts w:cs="Arial"/>
          <w:szCs w:val="24"/>
          <w:lang w:eastAsia="en-GB"/>
        </w:rPr>
        <w:t>Ultimately, the ideal would be for the private sector to manage itself, addressing the issues, and the recognition of accredited schemes assists in encouraging this.</w:t>
      </w:r>
    </w:p>
    <w:p w14:paraId="34BAB2FD" w14:textId="77777777" w:rsidR="00CA1467" w:rsidRDefault="00CA1467" w:rsidP="00CA1467">
      <w:pPr>
        <w:pStyle w:val="ListParagraph"/>
        <w:rPr>
          <w:rFonts w:cs="Arial"/>
          <w:szCs w:val="24"/>
          <w:lang w:eastAsia="en-GB"/>
        </w:rPr>
      </w:pPr>
    </w:p>
    <w:p w14:paraId="34BAB2FE" w14:textId="77777777" w:rsidR="00CA1467" w:rsidRDefault="00031C54" w:rsidP="00CA1467">
      <w:pPr>
        <w:numPr>
          <w:ilvl w:val="0"/>
          <w:numId w:val="15"/>
        </w:numPr>
        <w:autoSpaceDE w:val="0"/>
        <w:autoSpaceDN w:val="0"/>
        <w:adjustRightInd w:val="0"/>
        <w:rPr>
          <w:rFonts w:cs="Arial"/>
          <w:szCs w:val="24"/>
          <w:lang w:eastAsia="en-GB"/>
        </w:rPr>
      </w:pPr>
      <w:r w:rsidRPr="00FE7D9A">
        <w:rPr>
          <w:rFonts w:cs="Arial"/>
          <w:szCs w:val="24"/>
          <w:lang w:eastAsia="en-GB"/>
        </w:rPr>
        <w:lastRenderedPageBreak/>
        <w:t>A licence will not be issued until a complete application and full payment has been received by the Local Authority, to ensure that costs are covered.</w:t>
      </w:r>
    </w:p>
    <w:p w14:paraId="34BAB2FF" w14:textId="77777777" w:rsidR="00CA1467" w:rsidRDefault="00CA1467" w:rsidP="00CA1467">
      <w:pPr>
        <w:pStyle w:val="ListParagraph"/>
        <w:rPr>
          <w:rFonts w:cs="Arial"/>
          <w:szCs w:val="24"/>
          <w:lang w:eastAsia="en-GB"/>
        </w:rPr>
      </w:pPr>
    </w:p>
    <w:p w14:paraId="34BAB300" w14:textId="77777777" w:rsidR="00CA1467" w:rsidRDefault="00031C54" w:rsidP="00CA1467">
      <w:pPr>
        <w:numPr>
          <w:ilvl w:val="0"/>
          <w:numId w:val="15"/>
        </w:numPr>
        <w:autoSpaceDE w:val="0"/>
        <w:autoSpaceDN w:val="0"/>
        <w:adjustRightInd w:val="0"/>
        <w:rPr>
          <w:rFonts w:cs="Arial"/>
          <w:szCs w:val="24"/>
          <w:lang w:eastAsia="en-GB"/>
        </w:rPr>
      </w:pPr>
      <w:r w:rsidRPr="00FE7D9A">
        <w:rPr>
          <w:rFonts w:cs="Arial"/>
          <w:szCs w:val="24"/>
          <w:lang w:eastAsia="en-GB"/>
        </w:rPr>
        <w:t>It is not the intention of the Authority to look to licence the whole Borough, but only where the evidence justifies it, within the limits of the DCLG requirements.</w:t>
      </w:r>
    </w:p>
    <w:p w14:paraId="34BAB301" w14:textId="77777777" w:rsidR="00CA1467" w:rsidRDefault="00CA1467" w:rsidP="00CA1467">
      <w:pPr>
        <w:pStyle w:val="ListParagraph"/>
      </w:pPr>
    </w:p>
    <w:p w14:paraId="34BAB302" w14:textId="623A1E96" w:rsidR="00CA1467" w:rsidRPr="00E80380" w:rsidRDefault="00031C54" w:rsidP="00CA1467">
      <w:pPr>
        <w:numPr>
          <w:ilvl w:val="0"/>
          <w:numId w:val="15"/>
        </w:numPr>
        <w:autoSpaceDE w:val="0"/>
        <w:autoSpaceDN w:val="0"/>
        <w:adjustRightInd w:val="0"/>
        <w:rPr>
          <w:rFonts w:cs="Arial"/>
          <w:szCs w:val="24"/>
          <w:lang w:eastAsia="en-GB"/>
        </w:rPr>
      </w:pPr>
      <w:r>
        <w:t>The continuation of Selective Licensing will reduce the service costs of Public Protection in line with making it self-financing</w:t>
      </w:r>
      <w:r w:rsidR="00482CC8">
        <w:t>.</w:t>
      </w:r>
    </w:p>
    <w:p w14:paraId="34BAB303" w14:textId="77777777" w:rsidR="00CA1467" w:rsidRDefault="00CA1467" w:rsidP="00CA1467">
      <w:pPr>
        <w:pStyle w:val="ListParagraph"/>
        <w:rPr>
          <w:rFonts w:cs="Arial"/>
          <w:szCs w:val="24"/>
          <w:lang w:eastAsia="en-GB"/>
        </w:rPr>
      </w:pPr>
    </w:p>
    <w:p w14:paraId="34BAB304" w14:textId="6AB4395B" w:rsidR="00CA1467" w:rsidRPr="00E80380" w:rsidRDefault="00031C54" w:rsidP="00CA1467">
      <w:pPr>
        <w:numPr>
          <w:ilvl w:val="0"/>
          <w:numId w:val="15"/>
        </w:numPr>
        <w:autoSpaceDE w:val="0"/>
        <w:autoSpaceDN w:val="0"/>
        <w:adjustRightInd w:val="0"/>
        <w:rPr>
          <w:rFonts w:cs="Arial"/>
          <w:szCs w:val="24"/>
          <w:lang w:eastAsia="en-GB"/>
        </w:rPr>
      </w:pPr>
      <w:r>
        <w:rPr>
          <w:rFonts w:cs="Arial"/>
          <w:szCs w:val="24"/>
          <w:lang w:eastAsia="en-GB"/>
        </w:rPr>
        <w:t>Further,</w:t>
      </w:r>
      <w:r w:rsidRPr="00E80380">
        <w:rPr>
          <w:rFonts w:cs="Arial"/>
          <w:szCs w:val="24"/>
          <w:lang w:eastAsia="en-GB"/>
        </w:rPr>
        <w:t xml:space="preserve"> in line with good practice, the fee is constantly benchmarked to ensure that it does not provide additional burdens or step outside what is seen across London.  This includes London Wide benchmarking, including sites such as </w:t>
      </w:r>
      <w:hyperlink r:id="rId19" w:history="1">
        <w:r w:rsidRPr="00E80380">
          <w:rPr>
            <w:rStyle w:val="Hyperlink"/>
            <w:rFonts w:cs="Arial"/>
            <w:szCs w:val="24"/>
            <w:lang w:eastAsia="en-GB"/>
          </w:rPr>
          <w:t>https://ww</w:t>
        </w:r>
        <w:bookmarkStart w:id="0" w:name="_Hlt58422937"/>
        <w:bookmarkStart w:id="1" w:name="_Hlt58422938"/>
        <w:r w:rsidRPr="00E80380">
          <w:rPr>
            <w:rStyle w:val="Hyperlink"/>
            <w:rFonts w:cs="Arial"/>
            <w:szCs w:val="24"/>
            <w:lang w:eastAsia="en-GB"/>
          </w:rPr>
          <w:t>w</w:t>
        </w:r>
        <w:bookmarkEnd w:id="0"/>
        <w:bookmarkEnd w:id="1"/>
        <w:r w:rsidRPr="00E80380">
          <w:rPr>
            <w:rStyle w:val="Hyperlink"/>
            <w:rFonts w:cs="Arial"/>
            <w:szCs w:val="24"/>
            <w:lang w:eastAsia="en-GB"/>
          </w:rPr>
          <w:t>.hmoserviceslondon.com/hmo-licensing-cost/</w:t>
        </w:r>
      </w:hyperlink>
      <w:r w:rsidRPr="00E80380">
        <w:rPr>
          <w:rFonts w:cs="Arial"/>
          <w:szCs w:val="24"/>
          <w:lang w:eastAsia="en-GB"/>
        </w:rPr>
        <w:t xml:space="preserve"> </w:t>
      </w:r>
      <w:r w:rsidR="00482CC8">
        <w:rPr>
          <w:rFonts w:cs="Arial"/>
          <w:szCs w:val="24"/>
          <w:lang w:eastAsia="en-GB"/>
        </w:rPr>
        <w:t>.</w:t>
      </w:r>
    </w:p>
    <w:p w14:paraId="34BAB305" w14:textId="77777777" w:rsidR="00CA1467" w:rsidRDefault="00CA1467" w:rsidP="00CA1467">
      <w:pPr>
        <w:pStyle w:val="ListParagraph"/>
        <w:rPr>
          <w:rFonts w:cs="Arial"/>
          <w:szCs w:val="24"/>
          <w:lang w:eastAsia="en-GB"/>
        </w:rPr>
      </w:pPr>
    </w:p>
    <w:p w14:paraId="34BAB306" w14:textId="77777777" w:rsidR="00CA1467" w:rsidRDefault="00CA1467" w:rsidP="00CA1467">
      <w:pPr>
        <w:pStyle w:val="ListParagraph"/>
        <w:rPr>
          <w:rFonts w:cs="Arial"/>
          <w:szCs w:val="24"/>
          <w:lang w:eastAsia="en-GB"/>
        </w:rPr>
      </w:pPr>
    </w:p>
    <w:p w14:paraId="34BAB307" w14:textId="77777777" w:rsidR="00CA1467" w:rsidRPr="00303FD6" w:rsidRDefault="00031C54" w:rsidP="00CA1467">
      <w:pPr>
        <w:pStyle w:val="Heading2"/>
        <w:keepNext/>
        <w:rPr>
          <w:color w:val="FF0000"/>
        </w:rPr>
      </w:pPr>
      <w:r>
        <w:t xml:space="preserve">9. </w:t>
      </w:r>
      <w:r w:rsidRPr="004A2543">
        <w:t>Equalities implications</w:t>
      </w:r>
      <w:r>
        <w:t xml:space="preserve"> </w:t>
      </w:r>
      <w:r w:rsidRPr="00333FAA">
        <w:t>/</w:t>
      </w:r>
      <w:r>
        <w:t xml:space="preserve"> </w:t>
      </w:r>
      <w:r w:rsidRPr="00333FAA">
        <w:t>Public Sector Equality Duty</w:t>
      </w:r>
    </w:p>
    <w:p w14:paraId="34BAB308" w14:textId="77777777" w:rsidR="00CA1467" w:rsidRDefault="00CA1467" w:rsidP="00CA1467"/>
    <w:p w14:paraId="34BAB309" w14:textId="77777777" w:rsidR="00CA1467" w:rsidRDefault="00031C54" w:rsidP="00CA1467">
      <w:pPr>
        <w:numPr>
          <w:ilvl w:val="2"/>
          <w:numId w:val="16"/>
        </w:numPr>
      </w:pPr>
      <w:r>
        <w:t>The Council must p</w:t>
      </w:r>
      <w:r w:rsidRPr="009658D2">
        <w:t xml:space="preserve">ursuant to </w:t>
      </w:r>
      <w:r>
        <w:t xml:space="preserve">section 149 of </w:t>
      </w:r>
      <w:r w:rsidRPr="009658D2">
        <w:t>the Equality Act 2010 (“the</w:t>
      </w:r>
      <w:r>
        <w:t xml:space="preserve"> </w:t>
      </w:r>
      <w:r w:rsidRPr="009658D2">
        <w:t>Act”), the council</w:t>
      </w:r>
      <w:r>
        <w:t>, in the exercise of its functions,</w:t>
      </w:r>
      <w:r w:rsidRPr="009658D2">
        <w:t xml:space="preserve"> has </w:t>
      </w:r>
      <w:r>
        <w:t>to have</w:t>
      </w:r>
      <w:r w:rsidRPr="009658D2">
        <w:t xml:space="preserve"> ‘due regard’ to </w:t>
      </w:r>
      <w:r>
        <w:t>(</w:t>
      </w:r>
      <w:proofErr w:type="spellStart"/>
      <w:r>
        <w:t>i</w:t>
      </w:r>
      <w:proofErr w:type="spellEnd"/>
      <w:r>
        <w:t xml:space="preserve">) </w:t>
      </w:r>
      <w:r w:rsidRPr="009658D2">
        <w:t xml:space="preserve">eliminating discrimination, </w:t>
      </w:r>
      <w:r>
        <w:t xml:space="preserve">harassment, victimisation and any other conduct that is prohibited by or under the Act; (ii) </w:t>
      </w:r>
      <w:r w:rsidRPr="009658D2">
        <w:t xml:space="preserve">advancing equality </w:t>
      </w:r>
      <w:r>
        <w:t xml:space="preserve">of opportunity between those with a relevant protected characteristic and those without; and (iii) fostering </w:t>
      </w:r>
      <w:r w:rsidRPr="009658D2">
        <w:t>good relations</w:t>
      </w:r>
      <w:r>
        <w:t xml:space="preserve"> between those who have a relevant protected characteristic and those without. </w:t>
      </w:r>
      <w:r w:rsidRPr="00232BEE">
        <w:t>It is not an absolute requirement to eliminate unlawful discrimination, harassment, victimisation or other prohibited conduct, or to promote equality of opportunity or foster good relations between persons who share a protected characteristic and those who do not. It is a duty to have due regard to the need to achieve the goals listed above.</w:t>
      </w:r>
    </w:p>
    <w:p w14:paraId="34BAB30A" w14:textId="77777777" w:rsidR="00CA1467" w:rsidRDefault="00CA1467" w:rsidP="00CA1467">
      <w:pPr>
        <w:ind w:left="720"/>
      </w:pPr>
    </w:p>
    <w:p w14:paraId="34BAB30B" w14:textId="77777777" w:rsidR="00CA1467" w:rsidRDefault="00031C54" w:rsidP="00CA1467">
      <w:pPr>
        <w:numPr>
          <w:ilvl w:val="2"/>
          <w:numId w:val="16"/>
        </w:numPr>
      </w:pPr>
      <w:r>
        <w:t>The relevant protected characteristics are</w:t>
      </w:r>
      <w:r w:rsidRPr="009658D2">
        <w:t xml:space="preserve"> age, </w:t>
      </w:r>
      <w:r>
        <w:t xml:space="preserve">race, </w:t>
      </w:r>
      <w:r w:rsidRPr="009658D2">
        <w:t>disability, gender reassignment, pregnancy and maternity, religion or belief</w:t>
      </w:r>
      <w:r>
        <w:t>, sex</w:t>
      </w:r>
      <w:r w:rsidRPr="009658D2">
        <w:t xml:space="preserve"> and sexual orientation.</w:t>
      </w:r>
      <w:r>
        <w:t xml:space="preserve">  The duty also covers marriage and civil partnership, but to a limited extent.</w:t>
      </w:r>
    </w:p>
    <w:p w14:paraId="34BAB30C" w14:textId="77777777" w:rsidR="00CA1467" w:rsidRDefault="00CA1467" w:rsidP="00CA1467">
      <w:pPr>
        <w:pStyle w:val="ListParagraph"/>
        <w:rPr>
          <w:rFonts w:cs="Arial"/>
          <w:szCs w:val="24"/>
        </w:rPr>
      </w:pPr>
    </w:p>
    <w:p w14:paraId="34BAB30D" w14:textId="77777777" w:rsidR="00CA1467" w:rsidRPr="00C1497D" w:rsidRDefault="00031C54" w:rsidP="00CA1467">
      <w:pPr>
        <w:numPr>
          <w:ilvl w:val="2"/>
          <w:numId w:val="16"/>
        </w:numPr>
        <w:tabs>
          <w:tab w:val="left" w:pos="748"/>
        </w:tabs>
        <w:autoSpaceDE w:val="0"/>
        <w:autoSpaceDN w:val="0"/>
        <w:adjustRightInd w:val="0"/>
      </w:pPr>
      <w:r w:rsidRPr="00C1497D">
        <w:rPr>
          <w:rFonts w:cs="Arial"/>
          <w:szCs w:val="24"/>
        </w:rPr>
        <w:t>In line with this, an Equalities Impact Assessment (</w:t>
      </w:r>
      <w:proofErr w:type="spellStart"/>
      <w:r w:rsidRPr="00C1497D">
        <w:rPr>
          <w:rFonts w:cs="Arial"/>
          <w:szCs w:val="24"/>
        </w:rPr>
        <w:t>EqIA</w:t>
      </w:r>
      <w:proofErr w:type="spellEnd"/>
      <w:r w:rsidRPr="00C1497D">
        <w:rPr>
          <w:rFonts w:cs="Arial"/>
          <w:szCs w:val="24"/>
        </w:rPr>
        <w:t>) has been conducted and t</w:t>
      </w:r>
      <w:r>
        <w:rPr>
          <w:rFonts w:cs="Arial"/>
          <w:szCs w:val="24"/>
        </w:rPr>
        <w:t>ook</w:t>
      </w:r>
      <w:r w:rsidRPr="00C1497D">
        <w:rPr>
          <w:rFonts w:cs="Arial"/>
          <w:szCs w:val="24"/>
        </w:rPr>
        <w:t xml:space="preserve"> into account the consultation feedback.  The </w:t>
      </w:r>
      <w:proofErr w:type="spellStart"/>
      <w:r w:rsidRPr="00C1497D">
        <w:rPr>
          <w:rFonts w:cs="Arial"/>
          <w:szCs w:val="24"/>
        </w:rPr>
        <w:t>EqIA</w:t>
      </w:r>
      <w:proofErr w:type="spellEnd"/>
      <w:r w:rsidRPr="00C1497D">
        <w:rPr>
          <w:rFonts w:cs="Arial"/>
          <w:szCs w:val="24"/>
        </w:rPr>
        <w:t xml:space="preserve"> can be found in </w:t>
      </w:r>
      <w:r w:rsidRPr="00A45797">
        <w:rPr>
          <w:rFonts w:cs="Arial"/>
          <w:b/>
          <w:szCs w:val="24"/>
        </w:rPr>
        <w:t xml:space="preserve">Appendix </w:t>
      </w:r>
      <w:r w:rsidR="009817B4">
        <w:rPr>
          <w:rFonts w:cs="Arial"/>
          <w:b/>
          <w:szCs w:val="24"/>
        </w:rPr>
        <w:t>E</w:t>
      </w:r>
      <w:r w:rsidRPr="00C1497D">
        <w:rPr>
          <w:rFonts w:cs="Arial"/>
          <w:szCs w:val="24"/>
        </w:rPr>
        <w:t>,</w:t>
      </w:r>
      <w:r>
        <w:rPr>
          <w:rFonts w:cs="Arial"/>
          <w:szCs w:val="24"/>
        </w:rPr>
        <w:t xml:space="preserve"> and to summarise, found that no group would be adversely impacted by the introduction of this scheme.</w:t>
      </w:r>
    </w:p>
    <w:p w14:paraId="34BAB30E" w14:textId="77777777" w:rsidR="00CA1467" w:rsidRDefault="00CA1467" w:rsidP="00CA1467">
      <w:pPr>
        <w:pStyle w:val="ListParagraph"/>
        <w:rPr>
          <w:rFonts w:cs="Arial"/>
          <w:szCs w:val="24"/>
        </w:rPr>
      </w:pPr>
    </w:p>
    <w:p w14:paraId="34BAB30F" w14:textId="77777777" w:rsidR="00CA1467" w:rsidRPr="00C1497D" w:rsidRDefault="00031C54" w:rsidP="00CA1467">
      <w:pPr>
        <w:numPr>
          <w:ilvl w:val="2"/>
          <w:numId w:val="16"/>
        </w:numPr>
        <w:tabs>
          <w:tab w:val="left" w:pos="709"/>
        </w:tabs>
        <w:autoSpaceDE w:val="0"/>
        <w:autoSpaceDN w:val="0"/>
        <w:adjustRightInd w:val="0"/>
      </w:pPr>
      <w:r w:rsidRPr="00C1497D">
        <w:rPr>
          <w:rFonts w:cs="Arial"/>
          <w:szCs w:val="24"/>
        </w:rPr>
        <w:t>Additionally, the policies and procedures governing</w:t>
      </w:r>
      <w:r>
        <w:rPr>
          <w:rFonts w:cs="Arial"/>
          <w:szCs w:val="24"/>
        </w:rPr>
        <w:t>,</w:t>
      </w:r>
      <w:r w:rsidRPr="00C1497D">
        <w:rPr>
          <w:rFonts w:cs="Arial"/>
          <w:szCs w:val="24"/>
        </w:rPr>
        <w:t xml:space="preserve"> </w:t>
      </w:r>
      <w:r>
        <w:rPr>
          <w:rFonts w:cs="Arial"/>
          <w:szCs w:val="24"/>
        </w:rPr>
        <w:t>that oversee the licensing process and enforcement,</w:t>
      </w:r>
      <w:r w:rsidRPr="00C1497D">
        <w:rPr>
          <w:rFonts w:cs="Arial"/>
          <w:szCs w:val="24"/>
        </w:rPr>
        <w:t xml:space="preserve"> address equalities and ensure a fair, balanced approach in line with statutory requirements and guidance.</w:t>
      </w:r>
    </w:p>
    <w:p w14:paraId="34BAB310" w14:textId="77777777" w:rsidR="00CA1467" w:rsidRDefault="00CA1467" w:rsidP="00CA1467"/>
    <w:p w14:paraId="34BAB312" w14:textId="77777777" w:rsidR="00CA1467" w:rsidRPr="009117F2" w:rsidRDefault="00031C54" w:rsidP="00CA1467">
      <w:pPr>
        <w:rPr>
          <w:b/>
          <w:sz w:val="28"/>
          <w:szCs w:val="28"/>
        </w:rPr>
      </w:pPr>
      <w:r>
        <w:rPr>
          <w:b/>
          <w:sz w:val="28"/>
          <w:szCs w:val="28"/>
        </w:rPr>
        <w:t>10. Procurement</w:t>
      </w:r>
    </w:p>
    <w:p w14:paraId="34BAB313" w14:textId="77777777" w:rsidR="00CA1467" w:rsidRDefault="00CA1467" w:rsidP="00CA1467"/>
    <w:p w14:paraId="34BAB314" w14:textId="77777777" w:rsidR="00CA1467" w:rsidRDefault="00031C54" w:rsidP="00CA1467">
      <w:r>
        <w:rPr>
          <w:rFonts w:cs="Arial"/>
          <w:szCs w:val="24"/>
        </w:rPr>
        <w:t>There are no procurement implications.</w:t>
      </w:r>
    </w:p>
    <w:p w14:paraId="34BAB317" w14:textId="77777777" w:rsidR="00CA1467" w:rsidRPr="009117F2" w:rsidRDefault="00031C54" w:rsidP="00CA1467">
      <w:pPr>
        <w:rPr>
          <w:b/>
          <w:sz w:val="28"/>
          <w:szCs w:val="28"/>
        </w:rPr>
      </w:pPr>
      <w:r>
        <w:rPr>
          <w:b/>
          <w:sz w:val="28"/>
          <w:szCs w:val="28"/>
        </w:rPr>
        <w:lastRenderedPageBreak/>
        <w:t xml:space="preserve">11. Council </w:t>
      </w:r>
      <w:r w:rsidRPr="009117F2">
        <w:rPr>
          <w:b/>
          <w:sz w:val="28"/>
          <w:szCs w:val="28"/>
        </w:rPr>
        <w:t>Priorities</w:t>
      </w:r>
    </w:p>
    <w:p w14:paraId="34BAB318" w14:textId="77777777" w:rsidR="00CA1467" w:rsidRDefault="00CA1467" w:rsidP="00CA1467"/>
    <w:p w14:paraId="34BAB319" w14:textId="6110B32C" w:rsidR="00CA1467" w:rsidRPr="0081223E" w:rsidRDefault="00031C54" w:rsidP="00CA1467">
      <w:pPr>
        <w:rPr>
          <w:rFonts w:cs="Arial"/>
          <w:szCs w:val="24"/>
          <w:lang w:val="en-US"/>
        </w:rPr>
      </w:pPr>
      <w:r w:rsidRPr="00DA538F">
        <w:rPr>
          <w:rFonts w:cs="Arial"/>
          <w:szCs w:val="24"/>
          <w:lang w:val="en-US"/>
        </w:rPr>
        <w:t xml:space="preserve">The </w:t>
      </w:r>
      <w:r>
        <w:rPr>
          <w:rFonts w:cs="Arial"/>
          <w:szCs w:val="24"/>
          <w:lang w:val="en-US"/>
        </w:rPr>
        <w:t>introduction of selective licensing in</w:t>
      </w:r>
      <w:r w:rsidR="0081223E">
        <w:rPr>
          <w:rFonts w:cs="Arial"/>
          <w:szCs w:val="24"/>
          <w:lang w:val="en-US"/>
        </w:rPr>
        <w:t xml:space="preserve"> Wealdstone</w:t>
      </w:r>
      <w:r>
        <w:rPr>
          <w:rFonts w:cs="Arial"/>
          <w:szCs w:val="24"/>
          <w:lang w:val="en-US"/>
        </w:rPr>
        <w:t xml:space="preserve"> </w:t>
      </w:r>
      <w:r w:rsidRPr="00DA538F">
        <w:rPr>
          <w:rFonts w:cs="Arial"/>
          <w:szCs w:val="24"/>
          <w:lang w:val="en-US"/>
        </w:rPr>
        <w:t>aid</w:t>
      </w:r>
      <w:r>
        <w:rPr>
          <w:rFonts w:cs="Arial"/>
          <w:szCs w:val="24"/>
          <w:lang w:val="en-US"/>
        </w:rPr>
        <w:t>s</w:t>
      </w:r>
      <w:r w:rsidRPr="00DA538F">
        <w:rPr>
          <w:rFonts w:cs="Arial"/>
          <w:szCs w:val="24"/>
          <w:lang w:val="en-US"/>
        </w:rPr>
        <w:t xml:space="preserve"> in meeting all the priorities of the Council </w:t>
      </w:r>
      <w:r w:rsidR="001D6997">
        <w:rPr>
          <w:rFonts w:cs="Arial"/>
          <w:szCs w:val="24"/>
          <w:lang w:val="en-US"/>
        </w:rPr>
        <w:t>being</w:t>
      </w:r>
      <w:r w:rsidRPr="00DA538F">
        <w:rPr>
          <w:rFonts w:cs="Arial"/>
          <w:szCs w:val="24"/>
          <w:lang w:val="en-US"/>
        </w:rPr>
        <w:t>:</w:t>
      </w:r>
    </w:p>
    <w:p w14:paraId="34BAB31A" w14:textId="77777777" w:rsidR="0081223E" w:rsidRDefault="0081223E" w:rsidP="0081223E"/>
    <w:p w14:paraId="5BC4D24A" w14:textId="77777777" w:rsidR="001D6997" w:rsidRDefault="001D6997" w:rsidP="001D6997">
      <w:pPr>
        <w:pStyle w:val="ListParagraph"/>
        <w:numPr>
          <w:ilvl w:val="0"/>
          <w:numId w:val="39"/>
        </w:numPr>
        <w:autoSpaceDE w:val="0"/>
        <w:autoSpaceDN w:val="0"/>
        <w:spacing w:before="240"/>
        <w:rPr>
          <w:b/>
          <w:bCs/>
        </w:rPr>
      </w:pPr>
      <w:r>
        <w:rPr>
          <w:b/>
        </w:rPr>
        <w:t>Improving the environment and addressing climate change</w:t>
      </w:r>
    </w:p>
    <w:p w14:paraId="28C444C4" w14:textId="77777777" w:rsidR="001D6997" w:rsidRDefault="001D6997" w:rsidP="001D6997">
      <w:pPr>
        <w:pStyle w:val="ListParagraph"/>
        <w:numPr>
          <w:ilvl w:val="0"/>
          <w:numId w:val="39"/>
        </w:numPr>
        <w:autoSpaceDE w:val="0"/>
        <w:autoSpaceDN w:val="0"/>
        <w:spacing w:before="240"/>
        <w:rPr>
          <w:b/>
          <w:bCs/>
        </w:rPr>
      </w:pPr>
      <w:r>
        <w:rPr>
          <w:b/>
        </w:rPr>
        <w:t>Tackling poverty and inequality</w:t>
      </w:r>
    </w:p>
    <w:p w14:paraId="0C8ECB8D" w14:textId="77777777" w:rsidR="001D6997" w:rsidRDefault="001D6997" w:rsidP="001D6997">
      <w:pPr>
        <w:pStyle w:val="ListParagraph"/>
        <w:numPr>
          <w:ilvl w:val="0"/>
          <w:numId w:val="39"/>
        </w:numPr>
        <w:autoSpaceDE w:val="0"/>
        <w:autoSpaceDN w:val="0"/>
        <w:spacing w:before="240"/>
        <w:rPr>
          <w:b/>
          <w:bCs/>
        </w:rPr>
      </w:pPr>
      <w:r>
        <w:rPr>
          <w:b/>
        </w:rPr>
        <w:t>Building homes and infrastructure</w:t>
      </w:r>
    </w:p>
    <w:p w14:paraId="5D23AA7A" w14:textId="77777777" w:rsidR="001D6997" w:rsidRDefault="001D6997" w:rsidP="001D6997">
      <w:pPr>
        <w:pStyle w:val="ListParagraph"/>
        <w:numPr>
          <w:ilvl w:val="0"/>
          <w:numId w:val="39"/>
        </w:numPr>
        <w:autoSpaceDE w:val="0"/>
        <w:autoSpaceDN w:val="0"/>
        <w:spacing w:before="240"/>
        <w:rPr>
          <w:b/>
        </w:rPr>
      </w:pPr>
      <w:r>
        <w:rPr>
          <w:b/>
        </w:rPr>
        <w:t>Addressing health and social care inequality</w:t>
      </w:r>
    </w:p>
    <w:p w14:paraId="3C4FE462" w14:textId="77777777" w:rsidR="001D6997" w:rsidRDefault="001D6997" w:rsidP="001D6997">
      <w:pPr>
        <w:pStyle w:val="ListParagraph"/>
        <w:numPr>
          <w:ilvl w:val="0"/>
          <w:numId w:val="39"/>
        </w:numPr>
        <w:autoSpaceDE w:val="0"/>
        <w:autoSpaceDN w:val="0"/>
        <w:spacing w:before="240"/>
        <w:rPr>
          <w:b/>
        </w:rPr>
      </w:pPr>
      <w:r>
        <w:rPr>
          <w:b/>
        </w:rPr>
        <w:t>Thriving economy</w:t>
      </w:r>
    </w:p>
    <w:p w14:paraId="34BAB31D" w14:textId="77777777" w:rsidR="00CA1467" w:rsidRDefault="00CA1467" w:rsidP="00CA1467"/>
    <w:p w14:paraId="34BAB31E" w14:textId="77777777" w:rsidR="00CA1467" w:rsidRPr="00EF001C" w:rsidRDefault="00031C54" w:rsidP="00CA1467">
      <w:pPr>
        <w:pStyle w:val="Heading2"/>
        <w:spacing w:before="480" w:after="240"/>
        <w:rPr>
          <w:rFonts w:ascii="Arial Black" w:hAnsi="Arial Black"/>
          <w:sz w:val="32"/>
        </w:rPr>
      </w:pPr>
      <w:r w:rsidRPr="00EF001C">
        <w:rPr>
          <w:rFonts w:ascii="Arial Black" w:hAnsi="Arial Black"/>
          <w:sz w:val="32"/>
        </w:rPr>
        <w:t>Section 3 - Statutory Officer Clearance</w:t>
      </w:r>
    </w:p>
    <w:p w14:paraId="34BAB31F" w14:textId="35483F4B" w:rsidR="00CA1467" w:rsidRPr="00A66326" w:rsidRDefault="00031C54" w:rsidP="00CA1467">
      <w:pPr>
        <w:rPr>
          <w:sz w:val="28"/>
        </w:rPr>
      </w:pPr>
      <w:r w:rsidRPr="00A66326">
        <w:rPr>
          <w:b/>
          <w:sz w:val="28"/>
        </w:rPr>
        <w:t xml:space="preserve">Statutory Officer:  </w:t>
      </w:r>
      <w:r w:rsidR="003936EF">
        <w:rPr>
          <w:b/>
          <w:sz w:val="28"/>
        </w:rPr>
        <w:t>Jessie Man</w:t>
      </w:r>
    </w:p>
    <w:p w14:paraId="34BAB320" w14:textId="77777777" w:rsidR="00CA1467" w:rsidRPr="00A66326" w:rsidRDefault="00031C54" w:rsidP="00CA1467">
      <w:r w:rsidRPr="00A66326">
        <w:t>Signed on *behalf of the Chief Financial Officer</w:t>
      </w:r>
    </w:p>
    <w:p w14:paraId="34BAB323" w14:textId="73FF0FEE" w:rsidR="00CA1467" w:rsidRPr="00A66326" w:rsidRDefault="00031C54" w:rsidP="00CA1467">
      <w:pPr>
        <w:spacing w:after="480"/>
        <w:rPr>
          <w:sz w:val="28"/>
        </w:rPr>
      </w:pPr>
      <w:r w:rsidRPr="00A66326">
        <w:rPr>
          <w:b/>
          <w:sz w:val="28"/>
        </w:rPr>
        <w:t xml:space="preserve">Date:  </w:t>
      </w:r>
      <w:r w:rsidR="003D4C07">
        <w:rPr>
          <w:b/>
          <w:sz w:val="28"/>
        </w:rPr>
        <w:t>7</w:t>
      </w:r>
      <w:r w:rsidR="003D4C07" w:rsidRPr="003D4C07">
        <w:rPr>
          <w:b/>
          <w:sz w:val="28"/>
          <w:vertAlign w:val="superscript"/>
        </w:rPr>
        <w:t>th</w:t>
      </w:r>
      <w:r w:rsidR="003D4C07">
        <w:rPr>
          <w:b/>
          <w:sz w:val="28"/>
        </w:rPr>
        <w:t xml:space="preserve"> May 2021</w:t>
      </w:r>
    </w:p>
    <w:p w14:paraId="34BAB324" w14:textId="3A8D6FA2" w:rsidR="00CA1467" w:rsidRPr="00A66326" w:rsidRDefault="00031C54" w:rsidP="00CA1467">
      <w:pPr>
        <w:rPr>
          <w:sz w:val="28"/>
        </w:rPr>
      </w:pPr>
      <w:r w:rsidRPr="00A66326">
        <w:rPr>
          <w:b/>
          <w:sz w:val="28"/>
        </w:rPr>
        <w:t xml:space="preserve">Statutory Officer:  </w:t>
      </w:r>
      <w:r w:rsidR="003936EF">
        <w:rPr>
          <w:b/>
          <w:sz w:val="28"/>
        </w:rPr>
        <w:t>Andrew Lucas</w:t>
      </w:r>
    </w:p>
    <w:p w14:paraId="34BAB325" w14:textId="77777777" w:rsidR="00CA1467" w:rsidRPr="00A66326" w:rsidRDefault="00031C54" w:rsidP="00CA1467">
      <w:r w:rsidRPr="00A66326">
        <w:t>Signed on *behalf of the Monitoring Officer</w:t>
      </w:r>
    </w:p>
    <w:p w14:paraId="34BAB328" w14:textId="0CEF9534" w:rsidR="00CA1467" w:rsidRPr="003313EA" w:rsidRDefault="00031C54" w:rsidP="00CA1467">
      <w:pPr>
        <w:spacing w:after="480"/>
        <w:rPr>
          <w:sz w:val="28"/>
        </w:rPr>
      </w:pPr>
      <w:r w:rsidRPr="00A66326">
        <w:rPr>
          <w:b/>
          <w:sz w:val="28"/>
        </w:rPr>
        <w:t xml:space="preserve">Date:  </w:t>
      </w:r>
      <w:r w:rsidR="003936EF">
        <w:rPr>
          <w:b/>
          <w:sz w:val="28"/>
        </w:rPr>
        <w:t>5</w:t>
      </w:r>
      <w:r w:rsidR="003936EF" w:rsidRPr="003936EF">
        <w:rPr>
          <w:b/>
          <w:sz w:val="28"/>
          <w:vertAlign w:val="superscript"/>
        </w:rPr>
        <w:t>th</w:t>
      </w:r>
      <w:r w:rsidR="003936EF">
        <w:rPr>
          <w:b/>
          <w:sz w:val="28"/>
        </w:rPr>
        <w:t xml:space="preserve"> May 2021</w:t>
      </w:r>
    </w:p>
    <w:p w14:paraId="34BAB329" w14:textId="58CF509A" w:rsidR="00CA1467" w:rsidRPr="003313EA" w:rsidRDefault="00031C54" w:rsidP="00CA1467">
      <w:pPr>
        <w:rPr>
          <w:sz w:val="28"/>
        </w:rPr>
      </w:pPr>
      <w:r w:rsidRPr="00A66326">
        <w:rPr>
          <w:b/>
          <w:sz w:val="28"/>
        </w:rPr>
        <w:t xml:space="preserve">Statutory Officer:  </w:t>
      </w:r>
      <w:proofErr w:type="spellStart"/>
      <w:r w:rsidR="003936EF">
        <w:rPr>
          <w:b/>
          <w:sz w:val="28"/>
        </w:rPr>
        <w:t>Nimesh</w:t>
      </w:r>
      <w:proofErr w:type="spellEnd"/>
      <w:r w:rsidR="003936EF">
        <w:rPr>
          <w:b/>
          <w:sz w:val="28"/>
        </w:rPr>
        <w:t xml:space="preserve"> Mehta</w:t>
      </w:r>
    </w:p>
    <w:p w14:paraId="34BAB32A" w14:textId="77777777" w:rsidR="00CA1467" w:rsidRPr="003313EA" w:rsidRDefault="00031C54" w:rsidP="00CA1467">
      <w:r w:rsidRPr="003313EA">
        <w:t>Signed on by the Head of Procurement</w:t>
      </w:r>
    </w:p>
    <w:p w14:paraId="34BAB32D" w14:textId="4221E53B" w:rsidR="00CA1467" w:rsidRDefault="00031C54" w:rsidP="00CA1467">
      <w:pPr>
        <w:spacing w:after="480"/>
        <w:rPr>
          <w:b/>
          <w:sz w:val="28"/>
        </w:rPr>
      </w:pPr>
      <w:r w:rsidRPr="00A66326">
        <w:rPr>
          <w:b/>
          <w:sz w:val="28"/>
        </w:rPr>
        <w:t xml:space="preserve">Date:  </w:t>
      </w:r>
      <w:r w:rsidR="008825E2">
        <w:rPr>
          <w:b/>
          <w:sz w:val="28"/>
        </w:rPr>
        <w:t>6</w:t>
      </w:r>
      <w:r w:rsidR="008825E2" w:rsidRPr="008825E2">
        <w:rPr>
          <w:b/>
          <w:sz w:val="28"/>
          <w:vertAlign w:val="superscript"/>
        </w:rPr>
        <w:t>th</w:t>
      </w:r>
      <w:r w:rsidR="008825E2">
        <w:rPr>
          <w:b/>
          <w:sz w:val="28"/>
        </w:rPr>
        <w:t xml:space="preserve"> May 2021</w:t>
      </w:r>
    </w:p>
    <w:p w14:paraId="34BAB32F" w14:textId="40F6F65A" w:rsidR="00CA1467" w:rsidRPr="00A66326" w:rsidRDefault="00031C54" w:rsidP="00CA1467">
      <w:pPr>
        <w:rPr>
          <w:sz w:val="28"/>
        </w:rPr>
      </w:pPr>
      <w:r w:rsidRPr="00A66326">
        <w:rPr>
          <w:b/>
          <w:sz w:val="28"/>
        </w:rPr>
        <w:t xml:space="preserve">Statutory Officer:  </w:t>
      </w:r>
      <w:r w:rsidR="003936EF">
        <w:rPr>
          <w:b/>
          <w:sz w:val="28"/>
        </w:rPr>
        <w:t xml:space="preserve">Mark </w:t>
      </w:r>
      <w:proofErr w:type="spellStart"/>
      <w:r w:rsidR="003936EF">
        <w:rPr>
          <w:b/>
          <w:sz w:val="28"/>
        </w:rPr>
        <w:t>Billington</w:t>
      </w:r>
      <w:proofErr w:type="spellEnd"/>
    </w:p>
    <w:p w14:paraId="34BAB330" w14:textId="77777777" w:rsidR="00CA1467" w:rsidRPr="00A66326" w:rsidRDefault="00031C54" w:rsidP="00CA1467">
      <w:r>
        <w:t>Signed</w:t>
      </w:r>
      <w:r w:rsidRPr="00A66326">
        <w:t xml:space="preserve"> by the Corporate Director</w:t>
      </w:r>
    </w:p>
    <w:p w14:paraId="34BAB332" w14:textId="3DEC9C01" w:rsidR="00CA1467" w:rsidRDefault="00031C54" w:rsidP="00CA1467">
      <w:pPr>
        <w:spacing w:after="480"/>
        <w:rPr>
          <w:b/>
          <w:sz w:val="28"/>
        </w:rPr>
      </w:pPr>
      <w:r w:rsidRPr="00A66326">
        <w:rPr>
          <w:b/>
          <w:sz w:val="28"/>
        </w:rPr>
        <w:t xml:space="preserve">Date:  </w:t>
      </w:r>
      <w:r w:rsidR="00206423">
        <w:rPr>
          <w:b/>
          <w:sz w:val="28"/>
        </w:rPr>
        <w:t>18</w:t>
      </w:r>
      <w:r w:rsidR="00206423" w:rsidRPr="00206423">
        <w:rPr>
          <w:b/>
          <w:sz w:val="28"/>
          <w:vertAlign w:val="superscript"/>
        </w:rPr>
        <w:t>th</w:t>
      </w:r>
      <w:r w:rsidR="00206423">
        <w:rPr>
          <w:b/>
          <w:sz w:val="28"/>
        </w:rPr>
        <w:t xml:space="preserve"> May 2021</w:t>
      </w:r>
    </w:p>
    <w:p w14:paraId="34BAB333" w14:textId="091DBA03" w:rsidR="00CA1467" w:rsidRPr="00A66326" w:rsidRDefault="00031C54" w:rsidP="00CA1467">
      <w:pPr>
        <w:rPr>
          <w:sz w:val="28"/>
        </w:rPr>
      </w:pPr>
      <w:r w:rsidRPr="00A66326">
        <w:rPr>
          <w:b/>
          <w:sz w:val="28"/>
        </w:rPr>
        <w:t xml:space="preserve">Statutory Officer:  </w:t>
      </w:r>
      <w:r w:rsidR="00482CC8">
        <w:rPr>
          <w:b/>
          <w:sz w:val="28"/>
        </w:rPr>
        <w:t>Susan Dixson</w:t>
      </w:r>
    </w:p>
    <w:p w14:paraId="34BAB334" w14:textId="77777777" w:rsidR="00CA1467" w:rsidRPr="003313EA" w:rsidRDefault="00031C54" w:rsidP="00CA1467">
      <w:r w:rsidRPr="003313EA">
        <w:t xml:space="preserve">Signed on by the Head of </w:t>
      </w:r>
      <w:r>
        <w:t>Internal Audit</w:t>
      </w:r>
    </w:p>
    <w:p w14:paraId="34BAB336" w14:textId="6C585847" w:rsidR="00CA1467" w:rsidRDefault="00031C54" w:rsidP="00CA1467">
      <w:pPr>
        <w:spacing w:after="480"/>
        <w:rPr>
          <w:b/>
          <w:sz w:val="28"/>
        </w:rPr>
      </w:pPr>
      <w:r w:rsidRPr="00A66326">
        <w:rPr>
          <w:b/>
          <w:sz w:val="28"/>
        </w:rPr>
        <w:t xml:space="preserve">Date:  </w:t>
      </w:r>
      <w:r w:rsidR="00482CC8">
        <w:rPr>
          <w:b/>
          <w:sz w:val="28"/>
        </w:rPr>
        <w:t>28</w:t>
      </w:r>
      <w:r w:rsidR="00482CC8" w:rsidRPr="00482CC8">
        <w:rPr>
          <w:b/>
          <w:sz w:val="28"/>
          <w:vertAlign w:val="superscript"/>
        </w:rPr>
        <w:t>th</w:t>
      </w:r>
      <w:r w:rsidR="00482CC8">
        <w:rPr>
          <w:b/>
          <w:sz w:val="28"/>
        </w:rPr>
        <w:t xml:space="preserve"> April 2021</w:t>
      </w:r>
    </w:p>
    <w:p w14:paraId="34BAB337" w14:textId="77777777" w:rsidR="00CA1467" w:rsidRPr="00435B5D" w:rsidRDefault="00031C54" w:rsidP="00CA1467">
      <w:pPr>
        <w:pStyle w:val="Heading2"/>
        <w:spacing w:after="240"/>
      </w:pPr>
      <w:r>
        <w:t>Mandatory Checks</w:t>
      </w:r>
    </w:p>
    <w:p w14:paraId="34BAB338" w14:textId="77777777" w:rsidR="00CA1467" w:rsidRPr="00A406F3" w:rsidRDefault="00031C54" w:rsidP="00CA1467">
      <w:pPr>
        <w:pStyle w:val="Heading3"/>
        <w:ind w:left="0" w:firstLine="0"/>
        <w:jc w:val="left"/>
      </w:pPr>
      <w:r w:rsidRPr="003313EA">
        <w:t xml:space="preserve">Ward Councillors </w:t>
      </w:r>
      <w:r>
        <w:t>notified:  No as Borough Wide</w:t>
      </w:r>
    </w:p>
    <w:p w14:paraId="34BAB33A" w14:textId="77777777" w:rsidR="00CA1467" w:rsidRPr="00202D79" w:rsidRDefault="00031C54" w:rsidP="00CA1467">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34BAB33D" w14:textId="63B5FCEF" w:rsidR="00CA1467" w:rsidRDefault="00031C54" w:rsidP="00CA1467">
      <w:pPr>
        <w:pStyle w:val="Heading3"/>
        <w:spacing w:before="240"/>
        <w:jc w:val="left"/>
      </w:pPr>
      <w:proofErr w:type="spellStart"/>
      <w:r w:rsidRPr="00202D79">
        <w:t>EqIA</w:t>
      </w:r>
      <w:proofErr w:type="spellEnd"/>
      <w:r w:rsidRPr="00202D79">
        <w:t xml:space="preserve"> cleared by:</w:t>
      </w:r>
      <w:r>
        <w:t xml:space="preserve">  </w:t>
      </w:r>
      <w:r w:rsidR="003D4C07">
        <w:t>D Corby</w:t>
      </w:r>
    </w:p>
    <w:p w14:paraId="34BAB33E" w14:textId="77777777" w:rsidR="00CA1467" w:rsidRDefault="00CA1467" w:rsidP="00CA1467"/>
    <w:p w14:paraId="34BAB341" w14:textId="07A68594" w:rsidR="00CA1467" w:rsidRPr="00EF001C" w:rsidRDefault="00EF001C" w:rsidP="00CA1467">
      <w:pPr>
        <w:pStyle w:val="Heading2"/>
        <w:spacing w:before="480" w:after="240"/>
        <w:rPr>
          <w:rFonts w:ascii="Arial Black" w:hAnsi="Arial Black"/>
          <w:sz w:val="32"/>
        </w:rPr>
      </w:pPr>
      <w:r>
        <w:rPr>
          <w:rFonts w:ascii="Arial Black" w:hAnsi="Arial Black"/>
          <w:sz w:val="32"/>
        </w:rPr>
        <w:lastRenderedPageBreak/>
        <w:t>S</w:t>
      </w:r>
      <w:r w:rsidR="00031C54" w:rsidRPr="00EF001C">
        <w:rPr>
          <w:rFonts w:ascii="Arial Black" w:hAnsi="Arial Black"/>
          <w:sz w:val="32"/>
        </w:rPr>
        <w:t>ection 4 - Contact Details and Background Papers</w:t>
      </w:r>
    </w:p>
    <w:p w14:paraId="34BAB342" w14:textId="0FAFDFFC" w:rsidR="00CA1467" w:rsidRDefault="00031C54" w:rsidP="00CA1467">
      <w:pPr>
        <w:pStyle w:val="Infotext"/>
      </w:pPr>
      <w:r w:rsidRPr="004E47FC">
        <w:rPr>
          <w:b/>
        </w:rPr>
        <w:t xml:space="preserve">Contact:  </w:t>
      </w:r>
      <w:r>
        <w:t>Richard Le-</w:t>
      </w:r>
      <w:proofErr w:type="spellStart"/>
      <w:r>
        <w:t>Brun</w:t>
      </w:r>
      <w:proofErr w:type="spellEnd"/>
      <w:r w:rsidRPr="00295D8C">
        <w:t xml:space="preserve">, </w:t>
      </w:r>
      <w:r>
        <w:t>Head of Community and Public Protection</w:t>
      </w:r>
      <w:r w:rsidRPr="00295D8C">
        <w:t>, 020 8424</w:t>
      </w:r>
      <w:r>
        <w:t xml:space="preserve"> 6267, </w:t>
      </w:r>
      <w:hyperlink r:id="rId20" w:history="1">
        <w:r w:rsidR="00EF001C" w:rsidRPr="0015196D">
          <w:rPr>
            <w:rStyle w:val="Hyperlink"/>
          </w:rPr>
          <w:t>Richard.lebrun@harrow.gov.uk</w:t>
        </w:r>
      </w:hyperlink>
    </w:p>
    <w:p w14:paraId="244C39D3" w14:textId="69307E37" w:rsidR="00EF001C" w:rsidRDefault="00EF001C" w:rsidP="00CA1467">
      <w:pPr>
        <w:pStyle w:val="Infotext"/>
      </w:pPr>
    </w:p>
    <w:p w14:paraId="0467029D" w14:textId="3381A03D" w:rsidR="00EF001C" w:rsidRPr="00EF001C" w:rsidRDefault="00EF001C" w:rsidP="00CA1467">
      <w:pPr>
        <w:pStyle w:val="Infotext"/>
        <w:rPr>
          <w:bCs/>
        </w:rPr>
      </w:pPr>
      <w:r w:rsidRPr="004E47FC">
        <w:rPr>
          <w:b/>
        </w:rPr>
        <w:t xml:space="preserve">Background Papers: </w:t>
      </w:r>
      <w:r>
        <w:rPr>
          <w:b/>
        </w:rPr>
        <w:t xml:space="preserve"> </w:t>
      </w:r>
      <w:r w:rsidRPr="00EF001C">
        <w:rPr>
          <w:bCs/>
        </w:rPr>
        <w:t>Briefing Note – Wealdstone Selective Licensing Renewal</w:t>
      </w:r>
    </w:p>
    <w:p w14:paraId="5419A389" w14:textId="348B6B97" w:rsidR="00EF001C" w:rsidRPr="007C0DC3" w:rsidRDefault="00EF001C" w:rsidP="00EF001C">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w:t>
      </w:r>
    </w:p>
    <w:p w14:paraId="34BAB344" w14:textId="63AB4204" w:rsidR="00CA1467" w:rsidRPr="003D78F6" w:rsidRDefault="00EF001C" w:rsidP="00EF001C">
      <w:pPr>
        <w:pStyle w:val="Infotext"/>
        <w:rPr>
          <w:i/>
          <w:sz w:val="24"/>
          <w:szCs w:val="24"/>
        </w:rPr>
      </w:pPr>
      <w:r w:rsidRPr="003D78F6">
        <w:rPr>
          <w:i/>
          <w:sz w:val="24"/>
          <w:szCs w:val="24"/>
        </w:rPr>
        <w:t xml:space="preserve"> </w:t>
      </w:r>
    </w:p>
    <w:p w14:paraId="34BAB349" w14:textId="5A1C0C00" w:rsidR="00CA1467" w:rsidRDefault="00031C54" w:rsidP="00EF001C">
      <w:pPr>
        <w:pStyle w:val="Infotext"/>
        <w:spacing w:before="240"/>
        <w:rPr>
          <w:rFonts w:cs="Arial"/>
        </w:rPr>
      </w:pPr>
      <w:r w:rsidRPr="003D78F6">
        <w:rPr>
          <w:b/>
        </w:rPr>
        <w:t xml:space="preserve">NO </w:t>
      </w:r>
    </w:p>
    <w:p w14:paraId="34BAB34A" w14:textId="77777777" w:rsidR="00CA1467" w:rsidRDefault="00CA1467" w:rsidP="00CA1467">
      <w:pPr>
        <w:keepNext/>
        <w:rPr>
          <w:rFonts w:cs="Arial"/>
        </w:rPr>
      </w:pPr>
      <w:bookmarkStart w:id="2" w:name="_GoBack"/>
      <w:bookmarkEnd w:id="2"/>
    </w:p>
    <w:sectPr w:rsidR="00CA1467" w:rsidSect="001E3C06">
      <w:headerReference w:type="default" r:id="rId21"/>
      <w:headerReference w:type="first" r:id="rId22"/>
      <w:footerReference w:type="first" r:id="rId23"/>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0686D" w14:textId="77777777" w:rsidR="00D7634E" w:rsidRDefault="00D7634E">
      <w:r>
        <w:separator/>
      </w:r>
    </w:p>
  </w:endnote>
  <w:endnote w:type="continuationSeparator" w:id="0">
    <w:p w14:paraId="79CC5271" w14:textId="77777777" w:rsidR="00D7634E" w:rsidRDefault="00D7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B366" w14:textId="77777777" w:rsidR="007E5C9C" w:rsidRDefault="007E5C9C" w:rsidP="00A53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AB367" w14:textId="77777777" w:rsidR="007E5C9C" w:rsidRDefault="007E5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B368" w14:textId="77777777" w:rsidR="007E5C9C" w:rsidRDefault="007E5C9C" w:rsidP="00A53B04">
    <w:pPr>
      <w:pStyle w:val="Footer"/>
      <w:tabs>
        <w:tab w:val="clear" w:pos="4153"/>
        <w:tab w:val="clear" w:pos="8306"/>
      </w:tabs>
      <w:ind w:right="81"/>
      <w:jc w:val="right"/>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B36C" w14:textId="69D75EAC" w:rsidR="007E5C9C" w:rsidRPr="00F91AE4" w:rsidRDefault="007E5C9C" w:rsidP="00F91AE4">
    <w:pPr>
      <w:pStyle w:val="Footer"/>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B36F" w14:textId="0820B6A6" w:rsidR="007E5C9C" w:rsidRPr="008C69F5" w:rsidRDefault="007E5C9C"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3471D" w14:textId="77777777" w:rsidR="00D7634E" w:rsidRDefault="00D7634E">
      <w:r>
        <w:separator/>
      </w:r>
    </w:p>
  </w:footnote>
  <w:footnote w:type="continuationSeparator" w:id="0">
    <w:p w14:paraId="5059A57A" w14:textId="77777777" w:rsidR="00D7634E" w:rsidRDefault="00D7634E">
      <w:r>
        <w:continuationSeparator/>
      </w:r>
    </w:p>
  </w:footnote>
  <w:footnote w:id="1">
    <w:p w14:paraId="34BAB370" w14:textId="77777777" w:rsidR="007E5C9C" w:rsidRDefault="007E5C9C" w:rsidP="00FB3437">
      <w:pPr>
        <w:pStyle w:val="FootnoteText"/>
      </w:pPr>
      <w:r>
        <w:rPr>
          <w:rStyle w:val="FootnoteReference"/>
        </w:rPr>
        <w:footnoteRef/>
      </w:r>
      <w:r>
        <w:t xml:space="preserve"> Police.uk </w:t>
      </w:r>
    </w:p>
  </w:footnote>
  <w:footnote w:id="2">
    <w:p w14:paraId="34BAB371" w14:textId="77777777" w:rsidR="007E5C9C" w:rsidRDefault="007E5C9C" w:rsidP="00FB3437">
      <w:pPr>
        <w:pStyle w:val="FootnoteText"/>
      </w:pPr>
      <w:r>
        <w:rPr>
          <w:rStyle w:val="FootnoteReference"/>
        </w:rPr>
        <w:footnoteRef/>
      </w:r>
      <w:r>
        <w:t xml:space="preserve"> </w:t>
      </w:r>
      <w:hyperlink r:id="rId1" w:history="1">
        <w:r>
          <w:rPr>
            <w:rStyle w:val="Hyperlink"/>
          </w:rPr>
          <w:t>crime (harrow.gov.uk)</w:t>
        </w:r>
      </w:hyperlink>
    </w:p>
  </w:footnote>
  <w:footnote w:id="3">
    <w:p w14:paraId="34BAB372" w14:textId="77777777" w:rsidR="007E5C9C" w:rsidRDefault="007E5C9C" w:rsidP="00FB3437">
      <w:pPr>
        <w:pStyle w:val="FootnoteText"/>
      </w:pPr>
      <w:r>
        <w:rPr>
          <w:rStyle w:val="FootnoteReference"/>
        </w:rPr>
        <w:footnoteRef/>
      </w:r>
      <w:r>
        <w:t xml:space="preserve"> </w:t>
      </w:r>
      <w:hyperlink r:id="rId2" w:history="1">
        <w:r>
          <w:rPr>
            <w:rStyle w:val="Hyperlink"/>
          </w:rPr>
          <w:t>environment (harrow.gov.uk)</w:t>
        </w:r>
      </w:hyperlink>
    </w:p>
  </w:footnote>
  <w:footnote w:id="4">
    <w:p w14:paraId="34BAB373" w14:textId="77777777" w:rsidR="007E5C9C" w:rsidRDefault="007E5C9C" w:rsidP="00FB3437">
      <w:pPr>
        <w:pStyle w:val="FootnoteText"/>
      </w:pPr>
      <w:r>
        <w:rPr>
          <w:rStyle w:val="FootnoteReference"/>
        </w:rPr>
        <w:footnoteRef/>
      </w:r>
      <w:r>
        <w:t xml:space="preserve"> </w:t>
      </w:r>
      <w:r w:rsidRPr="001776DA">
        <w:t>http://www.harrow.gov.uk/download/downloads/id/2017/2011_census_briefing_note_13</w:t>
      </w:r>
    </w:p>
  </w:footnote>
  <w:footnote w:id="5">
    <w:p w14:paraId="34BAB374" w14:textId="77777777" w:rsidR="007E5C9C" w:rsidRDefault="007E5C9C" w:rsidP="00FB3437">
      <w:pPr>
        <w:pStyle w:val="FootnoteText"/>
      </w:pPr>
      <w:r>
        <w:rPr>
          <w:rStyle w:val="FootnoteReference"/>
        </w:rPr>
        <w:footnoteRef/>
      </w:r>
      <w:r>
        <w:t xml:space="preserve"> </w:t>
      </w:r>
      <w:r w:rsidRPr="00027314">
        <w:t>http://www.harrow.gov.uk/download/downloads/id/3791/2011_2013_deprivation</w:t>
      </w:r>
    </w:p>
  </w:footnote>
  <w:footnote w:id="6">
    <w:p w14:paraId="34BAB375" w14:textId="77777777" w:rsidR="007E5C9C" w:rsidRDefault="007E5C9C" w:rsidP="00FB3437">
      <w:pPr>
        <w:pStyle w:val="FootnoteText"/>
      </w:pPr>
      <w:r>
        <w:rPr>
          <w:rStyle w:val="FootnoteReference"/>
        </w:rPr>
        <w:footnoteRef/>
      </w:r>
      <w:r>
        <w:t xml:space="preserve"> </w:t>
      </w:r>
      <w:hyperlink r:id="rId3" w:history="1">
        <w:r>
          <w:rPr>
            <w:rStyle w:val="Hyperlink"/>
          </w:rPr>
          <w:t>deprivation (harrow.gov.uk)</w:t>
        </w:r>
      </w:hyperlink>
    </w:p>
  </w:footnote>
  <w:footnote w:id="7">
    <w:p w14:paraId="34BAB376" w14:textId="77777777" w:rsidR="007E5C9C" w:rsidRDefault="007E5C9C">
      <w:pPr>
        <w:pStyle w:val="FootnoteText"/>
      </w:pPr>
      <w:r>
        <w:rPr>
          <w:rStyle w:val="FootnoteReference"/>
        </w:rPr>
        <w:footnoteRef/>
      </w:r>
      <w:r>
        <w:t xml:space="preserve"> </w:t>
      </w:r>
      <w:hyperlink r:id="rId4" w:history="1">
        <w:r>
          <w:rPr>
            <w:rStyle w:val="Hyperlink"/>
          </w:rPr>
          <w:t xml:space="preserve">Brown v Hyndburn Borough Council [2018] EWCA </w:t>
        </w:r>
        <w:proofErr w:type="spellStart"/>
        <w:r>
          <w:rPr>
            <w:rStyle w:val="Hyperlink"/>
          </w:rPr>
          <w:t>Civ</w:t>
        </w:r>
        <w:proofErr w:type="spellEnd"/>
        <w:r>
          <w:rPr>
            <w:rStyle w:val="Hyperlink"/>
          </w:rPr>
          <w:t xml:space="preserve"> 242 (21 February 2018) (bailii.org)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B369" w14:textId="77777777" w:rsidR="007E5C9C" w:rsidRDefault="007E5C9C">
    <w:pPr>
      <w:pStyle w:val="Header"/>
    </w:pPr>
  </w:p>
  <w:p w14:paraId="34BAB36A" w14:textId="77777777" w:rsidR="007E5C9C" w:rsidRDefault="007E5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B36D" w14:textId="77777777" w:rsidR="007E5C9C" w:rsidRDefault="007E5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B36E" w14:textId="77777777" w:rsidR="007E5C9C" w:rsidRDefault="007E5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D635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16B06"/>
    <w:multiLevelType w:val="hybridMultilevel"/>
    <w:tmpl w:val="11DEC99C"/>
    <w:lvl w:ilvl="0" w:tplc="ABA0C99E">
      <w:start w:val="1"/>
      <w:numFmt w:val="decimal"/>
      <w:lvlText w:val="%1."/>
      <w:lvlJc w:val="left"/>
      <w:pPr>
        <w:tabs>
          <w:tab w:val="num" w:pos="1080"/>
        </w:tabs>
        <w:ind w:left="1080" w:hanging="720"/>
      </w:pPr>
      <w:rPr>
        <w:rFonts w:hint="default"/>
      </w:rPr>
    </w:lvl>
    <w:lvl w:ilvl="1" w:tplc="61300A98" w:tentative="1">
      <w:start w:val="1"/>
      <w:numFmt w:val="lowerLetter"/>
      <w:lvlText w:val="%2."/>
      <w:lvlJc w:val="left"/>
      <w:pPr>
        <w:ind w:left="1440" w:hanging="360"/>
      </w:pPr>
    </w:lvl>
    <w:lvl w:ilvl="2" w:tplc="AA2AA864" w:tentative="1">
      <w:start w:val="1"/>
      <w:numFmt w:val="lowerRoman"/>
      <w:lvlText w:val="%3."/>
      <w:lvlJc w:val="right"/>
      <w:pPr>
        <w:ind w:left="2160" w:hanging="180"/>
      </w:pPr>
    </w:lvl>
    <w:lvl w:ilvl="3" w:tplc="A67C64C2" w:tentative="1">
      <w:start w:val="1"/>
      <w:numFmt w:val="decimal"/>
      <w:lvlText w:val="%4."/>
      <w:lvlJc w:val="left"/>
      <w:pPr>
        <w:ind w:left="2880" w:hanging="360"/>
      </w:pPr>
    </w:lvl>
    <w:lvl w:ilvl="4" w:tplc="F662B974" w:tentative="1">
      <w:start w:val="1"/>
      <w:numFmt w:val="lowerLetter"/>
      <w:lvlText w:val="%5."/>
      <w:lvlJc w:val="left"/>
      <w:pPr>
        <w:ind w:left="3600" w:hanging="360"/>
      </w:pPr>
    </w:lvl>
    <w:lvl w:ilvl="5" w:tplc="121E778A" w:tentative="1">
      <w:start w:val="1"/>
      <w:numFmt w:val="lowerRoman"/>
      <w:lvlText w:val="%6."/>
      <w:lvlJc w:val="right"/>
      <w:pPr>
        <w:ind w:left="4320" w:hanging="180"/>
      </w:pPr>
    </w:lvl>
    <w:lvl w:ilvl="6" w:tplc="695C4E1E" w:tentative="1">
      <w:start w:val="1"/>
      <w:numFmt w:val="decimal"/>
      <w:lvlText w:val="%7."/>
      <w:lvlJc w:val="left"/>
      <w:pPr>
        <w:ind w:left="5040" w:hanging="360"/>
      </w:pPr>
    </w:lvl>
    <w:lvl w:ilvl="7" w:tplc="65CCB274" w:tentative="1">
      <w:start w:val="1"/>
      <w:numFmt w:val="lowerLetter"/>
      <w:lvlText w:val="%8."/>
      <w:lvlJc w:val="left"/>
      <w:pPr>
        <w:ind w:left="5760" w:hanging="360"/>
      </w:pPr>
    </w:lvl>
    <w:lvl w:ilvl="8" w:tplc="A68CD466" w:tentative="1">
      <w:start w:val="1"/>
      <w:numFmt w:val="lowerRoman"/>
      <w:lvlText w:val="%9."/>
      <w:lvlJc w:val="right"/>
      <w:pPr>
        <w:ind w:left="6480" w:hanging="180"/>
      </w:pPr>
    </w:lvl>
  </w:abstractNum>
  <w:abstractNum w:abstractNumId="2">
    <w:nsid w:val="12B269DD"/>
    <w:multiLevelType w:val="multilevel"/>
    <w:tmpl w:val="37BCB3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E45D48"/>
    <w:multiLevelType w:val="hybridMultilevel"/>
    <w:tmpl w:val="B2CA8E74"/>
    <w:lvl w:ilvl="0" w:tplc="57966A26">
      <w:start w:val="1"/>
      <w:numFmt w:val="decimal"/>
      <w:lvlText w:val="%1."/>
      <w:lvlJc w:val="left"/>
      <w:pPr>
        <w:ind w:left="720" w:hanging="720"/>
      </w:pPr>
      <w:rPr>
        <w:rFonts w:hint="default"/>
      </w:rPr>
    </w:lvl>
    <w:lvl w:ilvl="1" w:tplc="D09C7812" w:tentative="1">
      <w:start w:val="1"/>
      <w:numFmt w:val="lowerLetter"/>
      <w:lvlText w:val="%2."/>
      <w:lvlJc w:val="left"/>
      <w:pPr>
        <w:ind w:left="1440" w:hanging="360"/>
      </w:pPr>
    </w:lvl>
    <w:lvl w:ilvl="2" w:tplc="D4FE8E1C" w:tentative="1">
      <w:start w:val="1"/>
      <w:numFmt w:val="lowerRoman"/>
      <w:lvlText w:val="%3."/>
      <w:lvlJc w:val="right"/>
      <w:pPr>
        <w:ind w:left="2160" w:hanging="180"/>
      </w:pPr>
    </w:lvl>
    <w:lvl w:ilvl="3" w:tplc="72B2ABD8" w:tentative="1">
      <w:start w:val="1"/>
      <w:numFmt w:val="decimal"/>
      <w:lvlText w:val="%4."/>
      <w:lvlJc w:val="left"/>
      <w:pPr>
        <w:ind w:left="2880" w:hanging="360"/>
      </w:pPr>
    </w:lvl>
    <w:lvl w:ilvl="4" w:tplc="222E7F4A" w:tentative="1">
      <w:start w:val="1"/>
      <w:numFmt w:val="lowerLetter"/>
      <w:lvlText w:val="%5."/>
      <w:lvlJc w:val="left"/>
      <w:pPr>
        <w:ind w:left="3600" w:hanging="360"/>
      </w:pPr>
    </w:lvl>
    <w:lvl w:ilvl="5" w:tplc="CEC26ED4" w:tentative="1">
      <w:start w:val="1"/>
      <w:numFmt w:val="lowerRoman"/>
      <w:lvlText w:val="%6."/>
      <w:lvlJc w:val="right"/>
      <w:pPr>
        <w:ind w:left="4320" w:hanging="180"/>
      </w:pPr>
    </w:lvl>
    <w:lvl w:ilvl="6" w:tplc="3E7A1D42" w:tentative="1">
      <w:start w:val="1"/>
      <w:numFmt w:val="decimal"/>
      <w:lvlText w:val="%7."/>
      <w:lvlJc w:val="left"/>
      <w:pPr>
        <w:ind w:left="5040" w:hanging="360"/>
      </w:pPr>
    </w:lvl>
    <w:lvl w:ilvl="7" w:tplc="B624FBE8" w:tentative="1">
      <w:start w:val="1"/>
      <w:numFmt w:val="lowerLetter"/>
      <w:lvlText w:val="%8."/>
      <w:lvlJc w:val="left"/>
      <w:pPr>
        <w:ind w:left="5760" w:hanging="360"/>
      </w:pPr>
    </w:lvl>
    <w:lvl w:ilvl="8" w:tplc="9754E41A" w:tentative="1">
      <w:start w:val="1"/>
      <w:numFmt w:val="lowerRoman"/>
      <w:lvlText w:val="%9."/>
      <w:lvlJc w:val="right"/>
      <w:pPr>
        <w:ind w:left="6480" w:hanging="180"/>
      </w:pPr>
    </w:lvl>
  </w:abstractNum>
  <w:abstractNum w:abstractNumId="4">
    <w:nsid w:val="16CD7165"/>
    <w:multiLevelType w:val="hybridMultilevel"/>
    <w:tmpl w:val="B37E7CEA"/>
    <w:lvl w:ilvl="0" w:tplc="29203C72">
      <w:start w:val="1"/>
      <w:numFmt w:val="lowerLetter"/>
      <w:lvlText w:val="%1."/>
      <w:lvlJc w:val="left"/>
      <w:pPr>
        <w:tabs>
          <w:tab w:val="num" w:pos="720"/>
        </w:tabs>
        <w:ind w:left="720" w:hanging="720"/>
      </w:pPr>
      <w:rPr>
        <w:rFonts w:ascii="Arial" w:hAnsi="Arial" w:cs="Times New Roman"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079700A"/>
    <w:multiLevelType w:val="hybridMultilevel"/>
    <w:tmpl w:val="DA241194"/>
    <w:lvl w:ilvl="0" w:tplc="F7D2DA20">
      <w:start w:val="1"/>
      <w:numFmt w:val="decimal"/>
      <w:lvlText w:val="%1."/>
      <w:lvlJc w:val="left"/>
      <w:pPr>
        <w:tabs>
          <w:tab w:val="num" w:pos="1440"/>
        </w:tabs>
        <w:ind w:left="1440" w:hanging="720"/>
      </w:pPr>
      <w:rPr>
        <w:rFonts w:hint="default"/>
      </w:rPr>
    </w:lvl>
    <w:lvl w:ilvl="1" w:tplc="86C23A4E" w:tentative="1">
      <w:start w:val="1"/>
      <w:numFmt w:val="lowerLetter"/>
      <w:lvlText w:val="%2."/>
      <w:lvlJc w:val="left"/>
      <w:pPr>
        <w:ind w:left="1440" w:hanging="360"/>
      </w:pPr>
    </w:lvl>
    <w:lvl w:ilvl="2" w:tplc="42308BC2" w:tentative="1">
      <w:start w:val="1"/>
      <w:numFmt w:val="lowerRoman"/>
      <w:lvlText w:val="%3."/>
      <w:lvlJc w:val="right"/>
      <w:pPr>
        <w:ind w:left="2160" w:hanging="180"/>
      </w:pPr>
    </w:lvl>
    <w:lvl w:ilvl="3" w:tplc="1F36AC8C" w:tentative="1">
      <w:start w:val="1"/>
      <w:numFmt w:val="decimal"/>
      <w:lvlText w:val="%4."/>
      <w:lvlJc w:val="left"/>
      <w:pPr>
        <w:ind w:left="2880" w:hanging="360"/>
      </w:pPr>
    </w:lvl>
    <w:lvl w:ilvl="4" w:tplc="0310D3F2" w:tentative="1">
      <w:start w:val="1"/>
      <w:numFmt w:val="lowerLetter"/>
      <w:lvlText w:val="%5."/>
      <w:lvlJc w:val="left"/>
      <w:pPr>
        <w:ind w:left="3600" w:hanging="360"/>
      </w:pPr>
    </w:lvl>
    <w:lvl w:ilvl="5" w:tplc="71984714" w:tentative="1">
      <w:start w:val="1"/>
      <w:numFmt w:val="lowerRoman"/>
      <w:lvlText w:val="%6."/>
      <w:lvlJc w:val="right"/>
      <w:pPr>
        <w:ind w:left="4320" w:hanging="180"/>
      </w:pPr>
    </w:lvl>
    <w:lvl w:ilvl="6" w:tplc="26BC6E78" w:tentative="1">
      <w:start w:val="1"/>
      <w:numFmt w:val="decimal"/>
      <w:lvlText w:val="%7."/>
      <w:lvlJc w:val="left"/>
      <w:pPr>
        <w:ind w:left="5040" w:hanging="360"/>
      </w:pPr>
    </w:lvl>
    <w:lvl w:ilvl="7" w:tplc="7C5AE908" w:tentative="1">
      <w:start w:val="1"/>
      <w:numFmt w:val="lowerLetter"/>
      <w:lvlText w:val="%8."/>
      <w:lvlJc w:val="left"/>
      <w:pPr>
        <w:ind w:left="5760" w:hanging="360"/>
      </w:pPr>
    </w:lvl>
    <w:lvl w:ilvl="8" w:tplc="965CEBFA" w:tentative="1">
      <w:start w:val="1"/>
      <w:numFmt w:val="lowerRoman"/>
      <w:lvlText w:val="%9."/>
      <w:lvlJc w:val="right"/>
      <w:pPr>
        <w:ind w:left="6480" w:hanging="180"/>
      </w:pPr>
    </w:lvl>
  </w:abstractNum>
  <w:abstractNum w:abstractNumId="6">
    <w:nsid w:val="22CE79CB"/>
    <w:multiLevelType w:val="multilevel"/>
    <w:tmpl w:val="5BBEF1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CB2EF6"/>
    <w:multiLevelType w:val="multilevel"/>
    <w:tmpl w:val="A3187FD6"/>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ED2A5A"/>
    <w:multiLevelType w:val="hybridMultilevel"/>
    <w:tmpl w:val="6AFCB57C"/>
    <w:lvl w:ilvl="0" w:tplc="003C492A">
      <w:start w:val="4"/>
      <w:numFmt w:val="bullet"/>
      <w:lvlText w:val="-"/>
      <w:lvlJc w:val="left"/>
      <w:pPr>
        <w:ind w:left="1080" w:hanging="360"/>
      </w:pPr>
      <w:rPr>
        <w:rFonts w:ascii="Arial" w:eastAsia="Times New Roman" w:hAnsi="Arial" w:cs="Arial" w:hint="default"/>
      </w:rPr>
    </w:lvl>
    <w:lvl w:ilvl="1" w:tplc="5C8E2458" w:tentative="1">
      <w:start w:val="1"/>
      <w:numFmt w:val="bullet"/>
      <w:lvlText w:val="o"/>
      <w:lvlJc w:val="left"/>
      <w:pPr>
        <w:ind w:left="1800" w:hanging="360"/>
      </w:pPr>
      <w:rPr>
        <w:rFonts w:ascii="Courier New" w:hAnsi="Courier New" w:cs="Courier New" w:hint="default"/>
      </w:rPr>
    </w:lvl>
    <w:lvl w:ilvl="2" w:tplc="927AEB74" w:tentative="1">
      <w:start w:val="1"/>
      <w:numFmt w:val="bullet"/>
      <w:lvlText w:val=""/>
      <w:lvlJc w:val="left"/>
      <w:pPr>
        <w:ind w:left="2520" w:hanging="360"/>
      </w:pPr>
      <w:rPr>
        <w:rFonts w:ascii="Wingdings" w:hAnsi="Wingdings" w:hint="default"/>
      </w:rPr>
    </w:lvl>
    <w:lvl w:ilvl="3" w:tplc="44027D5A" w:tentative="1">
      <w:start w:val="1"/>
      <w:numFmt w:val="bullet"/>
      <w:lvlText w:val=""/>
      <w:lvlJc w:val="left"/>
      <w:pPr>
        <w:ind w:left="3240" w:hanging="360"/>
      </w:pPr>
      <w:rPr>
        <w:rFonts w:ascii="Symbol" w:hAnsi="Symbol" w:hint="default"/>
      </w:rPr>
    </w:lvl>
    <w:lvl w:ilvl="4" w:tplc="56F8FBEE" w:tentative="1">
      <w:start w:val="1"/>
      <w:numFmt w:val="bullet"/>
      <w:lvlText w:val="o"/>
      <w:lvlJc w:val="left"/>
      <w:pPr>
        <w:ind w:left="3960" w:hanging="360"/>
      </w:pPr>
      <w:rPr>
        <w:rFonts w:ascii="Courier New" w:hAnsi="Courier New" w:cs="Courier New" w:hint="default"/>
      </w:rPr>
    </w:lvl>
    <w:lvl w:ilvl="5" w:tplc="A470E130" w:tentative="1">
      <w:start w:val="1"/>
      <w:numFmt w:val="bullet"/>
      <w:lvlText w:val=""/>
      <w:lvlJc w:val="left"/>
      <w:pPr>
        <w:ind w:left="4680" w:hanging="360"/>
      </w:pPr>
      <w:rPr>
        <w:rFonts w:ascii="Wingdings" w:hAnsi="Wingdings" w:hint="default"/>
      </w:rPr>
    </w:lvl>
    <w:lvl w:ilvl="6" w:tplc="7D5495B2" w:tentative="1">
      <w:start w:val="1"/>
      <w:numFmt w:val="bullet"/>
      <w:lvlText w:val=""/>
      <w:lvlJc w:val="left"/>
      <w:pPr>
        <w:ind w:left="5400" w:hanging="360"/>
      </w:pPr>
      <w:rPr>
        <w:rFonts w:ascii="Symbol" w:hAnsi="Symbol" w:hint="default"/>
      </w:rPr>
    </w:lvl>
    <w:lvl w:ilvl="7" w:tplc="5B3ED12E" w:tentative="1">
      <w:start w:val="1"/>
      <w:numFmt w:val="bullet"/>
      <w:lvlText w:val="o"/>
      <w:lvlJc w:val="left"/>
      <w:pPr>
        <w:ind w:left="6120" w:hanging="360"/>
      </w:pPr>
      <w:rPr>
        <w:rFonts w:ascii="Courier New" w:hAnsi="Courier New" w:cs="Courier New" w:hint="default"/>
      </w:rPr>
    </w:lvl>
    <w:lvl w:ilvl="8" w:tplc="6B0C1F20" w:tentative="1">
      <w:start w:val="1"/>
      <w:numFmt w:val="bullet"/>
      <w:lvlText w:val=""/>
      <w:lvlJc w:val="left"/>
      <w:pPr>
        <w:ind w:left="6840" w:hanging="360"/>
      </w:pPr>
      <w:rPr>
        <w:rFonts w:ascii="Wingdings" w:hAnsi="Wingdings" w:hint="default"/>
      </w:rPr>
    </w:lvl>
  </w:abstractNum>
  <w:abstractNum w:abstractNumId="9">
    <w:nsid w:val="2D4270F3"/>
    <w:multiLevelType w:val="multilevel"/>
    <w:tmpl w:val="7C5E871A"/>
    <w:lvl w:ilvl="0">
      <w:start w:val="4"/>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035252"/>
    <w:multiLevelType w:val="multilevel"/>
    <w:tmpl w:val="277AB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EF3747"/>
    <w:multiLevelType w:val="multilevel"/>
    <w:tmpl w:val="8C1ED43A"/>
    <w:lvl w:ilvl="0">
      <w:start w:val="8"/>
      <w:numFmt w:val="decimal"/>
      <w:lvlText w:val="%1"/>
      <w:lvlJc w:val="left"/>
      <w:pPr>
        <w:ind w:left="473" w:hanging="473"/>
      </w:pPr>
      <w:rPr>
        <w:rFonts w:hint="default"/>
      </w:rPr>
    </w:lvl>
    <w:lvl w:ilvl="1">
      <w:start w:val="1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F17212"/>
    <w:multiLevelType w:val="hybridMultilevel"/>
    <w:tmpl w:val="48AAF156"/>
    <w:lvl w:ilvl="0" w:tplc="5B6A564A">
      <w:start w:val="1"/>
      <w:numFmt w:val="decimal"/>
      <w:lvlText w:val="%1."/>
      <w:lvlJc w:val="left"/>
      <w:pPr>
        <w:tabs>
          <w:tab w:val="num" w:pos="720"/>
        </w:tabs>
        <w:ind w:left="720" w:hanging="360"/>
      </w:pPr>
      <w:rPr>
        <w:rFonts w:hint="default"/>
      </w:rPr>
    </w:lvl>
    <w:lvl w:ilvl="1" w:tplc="EA6838D8">
      <w:start w:val="1"/>
      <w:numFmt w:val="lowerLetter"/>
      <w:lvlText w:val="%2."/>
      <w:lvlJc w:val="left"/>
      <w:pPr>
        <w:tabs>
          <w:tab w:val="num" w:pos="1440"/>
        </w:tabs>
        <w:ind w:left="1440" w:hanging="360"/>
      </w:pPr>
    </w:lvl>
    <w:lvl w:ilvl="2" w:tplc="01AA0FAE" w:tentative="1">
      <w:start w:val="1"/>
      <w:numFmt w:val="lowerRoman"/>
      <w:lvlText w:val="%3."/>
      <w:lvlJc w:val="right"/>
      <w:pPr>
        <w:tabs>
          <w:tab w:val="num" w:pos="2160"/>
        </w:tabs>
        <w:ind w:left="2160" w:hanging="180"/>
      </w:pPr>
    </w:lvl>
    <w:lvl w:ilvl="3" w:tplc="D81422A8" w:tentative="1">
      <w:start w:val="1"/>
      <w:numFmt w:val="decimal"/>
      <w:lvlText w:val="%4."/>
      <w:lvlJc w:val="left"/>
      <w:pPr>
        <w:tabs>
          <w:tab w:val="num" w:pos="2880"/>
        </w:tabs>
        <w:ind w:left="2880" w:hanging="360"/>
      </w:pPr>
    </w:lvl>
    <w:lvl w:ilvl="4" w:tplc="E9C6CE42" w:tentative="1">
      <w:start w:val="1"/>
      <w:numFmt w:val="lowerLetter"/>
      <w:lvlText w:val="%5."/>
      <w:lvlJc w:val="left"/>
      <w:pPr>
        <w:tabs>
          <w:tab w:val="num" w:pos="3600"/>
        </w:tabs>
        <w:ind w:left="3600" w:hanging="360"/>
      </w:pPr>
    </w:lvl>
    <w:lvl w:ilvl="5" w:tplc="70721E26" w:tentative="1">
      <w:start w:val="1"/>
      <w:numFmt w:val="lowerRoman"/>
      <w:lvlText w:val="%6."/>
      <w:lvlJc w:val="right"/>
      <w:pPr>
        <w:tabs>
          <w:tab w:val="num" w:pos="4320"/>
        </w:tabs>
        <w:ind w:left="4320" w:hanging="180"/>
      </w:pPr>
    </w:lvl>
    <w:lvl w:ilvl="6" w:tplc="F49EFCD8" w:tentative="1">
      <w:start w:val="1"/>
      <w:numFmt w:val="decimal"/>
      <w:lvlText w:val="%7."/>
      <w:lvlJc w:val="left"/>
      <w:pPr>
        <w:tabs>
          <w:tab w:val="num" w:pos="5040"/>
        </w:tabs>
        <w:ind w:left="5040" w:hanging="360"/>
      </w:pPr>
    </w:lvl>
    <w:lvl w:ilvl="7" w:tplc="B394A2F4" w:tentative="1">
      <w:start w:val="1"/>
      <w:numFmt w:val="lowerLetter"/>
      <w:lvlText w:val="%8."/>
      <w:lvlJc w:val="left"/>
      <w:pPr>
        <w:tabs>
          <w:tab w:val="num" w:pos="5760"/>
        </w:tabs>
        <w:ind w:left="5760" w:hanging="360"/>
      </w:pPr>
    </w:lvl>
    <w:lvl w:ilvl="8" w:tplc="0448BD62" w:tentative="1">
      <w:start w:val="1"/>
      <w:numFmt w:val="lowerRoman"/>
      <w:lvlText w:val="%9."/>
      <w:lvlJc w:val="right"/>
      <w:pPr>
        <w:tabs>
          <w:tab w:val="num" w:pos="6480"/>
        </w:tabs>
        <w:ind w:left="6480" w:hanging="180"/>
      </w:pPr>
    </w:lvl>
  </w:abstractNum>
  <w:abstractNum w:abstractNumId="13">
    <w:nsid w:val="33FB53DF"/>
    <w:multiLevelType w:val="hybridMultilevel"/>
    <w:tmpl w:val="9F1098BC"/>
    <w:lvl w:ilvl="0" w:tplc="7E96BA80">
      <w:start w:val="1"/>
      <w:numFmt w:val="bullet"/>
      <w:lvlText w:val=""/>
      <w:lvlJc w:val="left"/>
      <w:pPr>
        <w:ind w:left="1185" w:hanging="360"/>
      </w:pPr>
      <w:rPr>
        <w:rFonts w:ascii="Symbol" w:hAnsi="Symbol" w:hint="default"/>
      </w:rPr>
    </w:lvl>
    <w:lvl w:ilvl="1" w:tplc="693A4092" w:tentative="1">
      <w:start w:val="1"/>
      <w:numFmt w:val="bullet"/>
      <w:lvlText w:val="o"/>
      <w:lvlJc w:val="left"/>
      <w:pPr>
        <w:ind w:left="1905" w:hanging="360"/>
      </w:pPr>
      <w:rPr>
        <w:rFonts w:ascii="Courier New" w:hAnsi="Courier New" w:cs="Courier New" w:hint="default"/>
      </w:rPr>
    </w:lvl>
    <w:lvl w:ilvl="2" w:tplc="6AC44AC2" w:tentative="1">
      <w:start w:val="1"/>
      <w:numFmt w:val="bullet"/>
      <w:lvlText w:val=""/>
      <w:lvlJc w:val="left"/>
      <w:pPr>
        <w:ind w:left="2625" w:hanging="360"/>
      </w:pPr>
      <w:rPr>
        <w:rFonts w:ascii="Wingdings" w:hAnsi="Wingdings" w:hint="default"/>
      </w:rPr>
    </w:lvl>
    <w:lvl w:ilvl="3" w:tplc="8146CAA2" w:tentative="1">
      <w:start w:val="1"/>
      <w:numFmt w:val="bullet"/>
      <w:lvlText w:val=""/>
      <w:lvlJc w:val="left"/>
      <w:pPr>
        <w:ind w:left="3345" w:hanging="360"/>
      </w:pPr>
      <w:rPr>
        <w:rFonts w:ascii="Symbol" w:hAnsi="Symbol" w:hint="default"/>
      </w:rPr>
    </w:lvl>
    <w:lvl w:ilvl="4" w:tplc="30547A60" w:tentative="1">
      <w:start w:val="1"/>
      <w:numFmt w:val="bullet"/>
      <w:lvlText w:val="o"/>
      <w:lvlJc w:val="left"/>
      <w:pPr>
        <w:ind w:left="4065" w:hanging="360"/>
      </w:pPr>
      <w:rPr>
        <w:rFonts w:ascii="Courier New" w:hAnsi="Courier New" w:cs="Courier New" w:hint="default"/>
      </w:rPr>
    </w:lvl>
    <w:lvl w:ilvl="5" w:tplc="41C46582" w:tentative="1">
      <w:start w:val="1"/>
      <w:numFmt w:val="bullet"/>
      <w:lvlText w:val=""/>
      <w:lvlJc w:val="left"/>
      <w:pPr>
        <w:ind w:left="4785" w:hanging="360"/>
      </w:pPr>
      <w:rPr>
        <w:rFonts w:ascii="Wingdings" w:hAnsi="Wingdings" w:hint="default"/>
      </w:rPr>
    </w:lvl>
    <w:lvl w:ilvl="6" w:tplc="AF5868D8" w:tentative="1">
      <w:start w:val="1"/>
      <w:numFmt w:val="bullet"/>
      <w:lvlText w:val=""/>
      <w:lvlJc w:val="left"/>
      <w:pPr>
        <w:ind w:left="5505" w:hanging="360"/>
      </w:pPr>
      <w:rPr>
        <w:rFonts w:ascii="Symbol" w:hAnsi="Symbol" w:hint="default"/>
      </w:rPr>
    </w:lvl>
    <w:lvl w:ilvl="7" w:tplc="8B7CA976" w:tentative="1">
      <w:start w:val="1"/>
      <w:numFmt w:val="bullet"/>
      <w:lvlText w:val="o"/>
      <w:lvlJc w:val="left"/>
      <w:pPr>
        <w:ind w:left="6225" w:hanging="360"/>
      </w:pPr>
      <w:rPr>
        <w:rFonts w:ascii="Courier New" w:hAnsi="Courier New" w:cs="Courier New" w:hint="default"/>
      </w:rPr>
    </w:lvl>
    <w:lvl w:ilvl="8" w:tplc="960E1A8C" w:tentative="1">
      <w:start w:val="1"/>
      <w:numFmt w:val="bullet"/>
      <w:lvlText w:val=""/>
      <w:lvlJc w:val="left"/>
      <w:pPr>
        <w:ind w:left="6945" w:hanging="360"/>
      </w:pPr>
      <w:rPr>
        <w:rFonts w:ascii="Wingdings" w:hAnsi="Wingdings" w:hint="default"/>
      </w:rPr>
    </w:lvl>
  </w:abstractNum>
  <w:abstractNum w:abstractNumId="14">
    <w:nsid w:val="384860A5"/>
    <w:multiLevelType w:val="multilevel"/>
    <w:tmpl w:val="7214F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9187AF8"/>
    <w:multiLevelType w:val="multilevel"/>
    <w:tmpl w:val="BC9A0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D3C5807"/>
    <w:multiLevelType w:val="multilevel"/>
    <w:tmpl w:val="518834DE"/>
    <w:lvl w:ilvl="0">
      <w:start w:val="2"/>
      <w:numFmt w:val="decimal"/>
      <w:lvlText w:val="%1"/>
      <w:lvlJc w:val="left"/>
      <w:pPr>
        <w:ind w:left="473" w:hanging="473"/>
      </w:pPr>
      <w:rPr>
        <w:rFonts w:hint="default"/>
      </w:rPr>
    </w:lvl>
    <w:lvl w:ilvl="1">
      <w:start w:val="2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6782AC9"/>
    <w:multiLevelType w:val="multilevel"/>
    <w:tmpl w:val="15C6CC22"/>
    <w:lvl w:ilvl="0">
      <w:start w:val="1"/>
      <w:numFmt w:val="decimal"/>
      <w:lvlText w:val="%1"/>
      <w:lvlJc w:val="left"/>
      <w:pPr>
        <w:ind w:left="473" w:hanging="473"/>
      </w:pPr>
      <w:rPr>
        <w:rFonts w:cs="Times New Roman" w:hint="default"/>
      </w:rPr>
    </w:lvl>
    <w:lvl w:ilvl="1">
      <w:start w:val="21"/>
      <w:numFmt w:val="decimal"/>
      <w:lvlText w:val="%1.%2"/>
      <w:lvlJc w:val="left"/>
      <w:pPr>
        <w:ind w:left="473" w:hanging="47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6962C2E"/>
    <w:multiLevelType w:val="hybridMultilevel"/>
    <w:tmpl w:val="057CA7EA"/>
    <w:lvl w:ilvl="0" w:tplc="DF3A4020">
      <w:start w:val="1"/>
      <w:numFmt w:val="lowerLetter"/>
      <w:lvlText w:val="%1)"/>
      <w:lvlJc w:val="left"/>
      <w:pPr>
        <w:ind w:left="1080" w:hanging="360"/>
      </w:pPr>
      <w:rPr>
        <w:rFonts w:hint="default"/>
      </w:rPr>
    </w:lvl>
    <w:lvl w:ilvl="1" w:tplc="8C78666C" w:tentative="1">
      <w:start w:val="1"/>
      <w:numFmt w:val="lowerLetter"/>
      <w:lvlText w:val="%2."/>
      <w:lvlJc w:val="left"/>
      <w:pPr>
        <w:ind w:left="1800" w:hanging="360"/>
      </w:pPr>
    </w:lvl>
    <w:lvl w:ilvl="2" w:tplc="9B3486A0" w:tentative="1">
      <w:start w:val="1"/>
      <w:numFmt w:val="lowerRoman"/>
      <w:lvlText w:val="%3."/>
      <w:lvlJc w:val="right"/>
      <w:pPr>
        <w:ind w:left="2520" w:hanging="180"/>
      </w:pPr>
    </w:lvl>
    <w:lvl w:ilvl="3" w:tplc="21B6CC68" w:tentative="1">
      <w:start w:val="1"/>
      <w:numFmt w:val="decimal"/>
      <w:lvlText w:val="%4."/>
      <w:lvlJc w:val="left"/>
      <w:pPr>
        <w:ind w:left="3240" w:hanging="360"/>
      </w:pPr>
    </w:lvl>
    <w:lvl w:ilvl="4" w:tplc="6228222E" w:tentative="1">
      <w:start w:val="1"/>
      <w:numFmt w:val="lowerLetter"/>
      <w:lvlText w:val="%5."/>
      <w:lvlJc w:val="left"/>
      <w:pPr>
        <w:ind w:left="3960" w:hanging="360"/>
      </w:pPr>
    </w:lvl>
    <w:lvl w:ilvl="5" w:tplc="BC34C6CE" w:tentative="1">
      <w:start w:val="1"/>
      <w:numFmt w:val="lowerRoman"/>
      <w:lvlText w:val="%6."/>
      <w:lvlJc w:val="right"/>
      <w:pPr>
        <w:ind w:left="4680" w:hanging="180"/>
      </w:pPr>
    </w:lvl>
    <w:lvl w:ilvl="6" w:tplc="611850EC" w:tentative="1">
      <w:start w:val="1"/>
      <w:numFmt w:val="decimal"/>
      <w:lvlText w:val="%7."/>
      <w:lvlJc w:val="left"/>
      <w:pPr>
        <w:ind w:left="5400" w:hanging="360"/>
      </w:pPr>
    </w:lvl>
    <w:lvl w:ilvl="7" w:tplc="D2D82B6C" w:tentative="1">
      <w:start w:val="1"/>
      <w:numFmt w:val="lowerLetter"/>
      <w:lvlText w:val="%8."/>
      <w:lvlJc w:val="left"/>
      <w:pPr>
        <w:ind w:left="6120" w:hanging="360"/>
      </w:pPr>
    </w:lvl>
    <w:lvl w:ilvl="8" w:tplc="3014D64C" w:tentative="1">
      <w:start w:val="1"/>
      <w:numFmt w:val="lowerRoman"/>
      <w:lvlText w:val="%9."/>
      <w:lvlJc w:val="right"/>
      <w:pPr>
        <w:ind w:left="6840" w:hanging="180"/>
      </w:pPr>
    </w:lvl>
  </w:abstractNum>
  <w:abstractNum w:abstractNumId="20">
    <w:nsid w:val="49C958D1"/>
    <w:multiLevelType w:val="multilevel"/>
    <w:tmpl w:val="8312B9CE"/>
    <w:lvl w:ilvl="0">
      <w:start w:val="4"/>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DC1CB2"/>
    <w:multiLevelType w:val="multilevel"/>
    <w:tmpl w:val="D898D6CE"/>
    <w:lvl w:ilvl="0">
      <w:start w:val="1"/>
      <w:numFmt w:val="decimal"/>
      <w:lvlText w:val="7.%1"/>
      <w:lvlJc w:val="left"/>
      <w:pPr>
        <w:ind w:left="465" w:hanging="465"/>
      </w:pPr>
      <w:rPr>
        <w:rFonts w:hint="default"/>
      </w:rPr>
    </w:lvl>
    <w:lvl w:ilvl="1">
      <w:start w:val="13"/>
      <w:numFmt w:val="decimal"/>
      <w:lvlText w:val="%1.%2"/>
      <w:lvlJc w:val="left"/>
      <w:pPr>
        <w:ind w:left="465" w:hanging="465"/>
      </w:pPr>
      <w:rPr>
        <w:rFonts w:hint="default"/>
      </w:rPr>
    </w:lvl>
    <w:lvl w:ilvl="2">
      <w:start w:val="13"/>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BA06D9F"/>
    <w:multiLevelType w:val="multilevel"/>
    <w:tmpl w:val="C040CF4E"/>
    <w:lvl w:ilvl="0">
      <w:start w:val="1"/>
      <w:numFmt w:val="decimal"/>
      <w:lvlText w:val="8.%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90691F"/>
    <w:multiLevelType w:val="multilevel"/>
    <w:tmpl w:val="7E4482BE"/>
    <w:lvl w:ilvl="0">
      <w:start w:val="9"/>
      <w:numFmt w:val="decimal"/>
      <w:lvlText w:val="8.%1"/>
      <w:lvlJc w:val="left"/>
      <w:pPr>
        <w:ind w:left="465" w:hanging="465"/>
      </w:pPr>
      <w:rPr>
        <w:rFonts w:hint="default"/>
      </w:rPr>
    </w:lvl>
    <w:lvl w:ilvl="1">
      <w:start w:val="13"/>
      <w:numFmt w:val="decimal"/>
      <w:lvlText w:val="%1.%2"/>
      <w:lvlJc w:val="left"/>
      <w:pPr>
        <w:ind w:left="465" w:hanging="465"/>
      </w:pPr>
      <w:rPr>
        <w:rFonts w:hint="default"/>
      </w:rPr>
    </w:lvl>
    <w:lvl w:ilvl="2">
      <w:start w:val="6"/>
      <w:numFmt w:val="decimal"/>
      <w:lvlText w:val="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E09013B"/>
    <w:multiLevelType w:val="hybridMultilevel"/>
    <w:tmpl w:val="B2CA8E74"/>
    <w:lvl w:ilvl="0" w:tplc="365A6E94">
      <w:start w:val="1"/>
      <w:numFmt w:val="decimal"/>
      <w:lvlText w:val="%1."/>
      <w:lvlJc w:val="left"/>
      <w:pPr>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E8C047C"/>
    <w:multiLevelType w:val="multilevel"/>
    <w:tmpl w:val="2B2A43BE"/>
    <w:lvl w:ilvl="0">
      <w:start w:val="17"/>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0404C1"/>
    <w:multiLevelType w:val="multilevel"/>
    <w:tmpl w:val="E794B2F0"/>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3859AC"/>
    <w:multiLevelType w:val="multilevel"/>
    <w:tmpl w:val="BA6417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5"/>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C76DCE"/>
    <w:multiLevelType w:val="hybridMultilevel"/>
    <w:tmpl w:val="EDDC9FDC"/>
    <w:lvl w:ilvl="0" w:tplc="C0A862A8">
      <w:start w:val="1"/>
      <w:numFmt w:val="lowerLetter"/>
      <w:lvlText w:val="(%1)"/>
      <w:lvlJc w:val="left"/>
      <w:pPr>
        <w:ind w:left="1080" w:hanging="360"/>
      </w:pPr>
      <w:rPr>
        <w:rFonts w:hint="default"/>
      </w:rPr>
    </w:lvl>
    <w:lvl w:ilvl="1" w:tplc="640EC7FA" w:tentative="1">
      <w:start w:val="1"/>
      <w:numFmt w:val="lowerLetter"/>
      <w:lvlText w:val="%2."/>
      <w:lvlJc w:val="left"/>
      <w:pPr>
        <w:ind w:left="1800" w:hanging="360"/>
      </w:pPr>
    </w:lvl>
    <w:lvl w:ilvl="2" w:tplc="632A9DD4" w:tentative="1">
      <w:start w:val="1"/>
      <w:numFmt w:val="lowerRoman"/>
      <w:lvlText w:val="%3."/>
      <w:lvlJc w:val="right"/>
      <w:pPr>
        <w:ind w:left="2520" w:hanging="180"/>
      </w:pPr>
    </w:lvl>
    <w:lvl w:ilvl="3" w:tplc="368A9D78" w:tentative="1">
      <w:start w:val="1"/>
      <w:numFmt w:val="decimal"/>
      <w:lvlText w:val="%4."/>
      <w:lvlJc w:val="left"/>
      <w:pPr>
        <w:ind w:left="3240" w:hanging="360"/>
      </w:pPr>
    </w:lvl>
    <w:lvl w:ilvl="4" w:tplc="782CABE8" w:tentative="1">
      <w:start w:val="1"/>
      <w:numFmt w:val="lowerLetter"/>
      <w:lvlText w:val="%5."/>
      <w:lvlJc w:val="left"/>
      <w:pPr>
        <w:ind w:left="3960" w:hanging="360"/>
      </w:pPr>
    </w:lvl>
    <w:lvl w:ilvl="5" w:tplc="7DE09A80" w:tentative="1">
      <w:start w:val="1"/>
      <w:numFmt w:val="lowerRoman"/>
      <w:lvlText w:val="%6."/>
      <w:lvlJc w:val="right"/>
      <w:pPr>
        <w:ind w:left="4680" w:hanging="180"/>
      </w:pPr>
    </w:lvl>
    <w:lvl w:ilvl="6" w:tplc="868C2FA6" w:tentative="1">
      <w:start w:val="1"/>
      <w:numFmt w:val="decimal"/>
      <w:lvlText w:val="%7."/>
      <w:lvlJc w:val="left"/>
      <w:pPr>
        <w:ind w:left="5400" w:hanging="360"/>
      </w:pPr>
    </w:lvl>
    <w:lvl w:ilvl="7" w:tplc="7550E052" w:tentative="1">
      <w:start w:val="1"/>
      <w:numFmt w:val="lowerLetter"/>
      <w:lvlText w:val="%8."/>
      <w:lvlJc w:val="left"/>
      <w:pPr>
        <w:ind w:left="6120" w:hanging="360"/>
      </w:pPr>
    </w:lvl>
    <w:lvl w:ilvl="8" w:tplc="3DCAD842" w:tentative="1">
      <w:start w:val="1"/>
      <w:numFmt w:val="lowerRoman"/>
      <w:lvlText w:val="%9."/>
      <w:lvlJc w:val="right"/>
      <w:pPr>
        <w:ind w:left="6840" w:hanging="180"/>
      </w:pPr>
    </w:lvl>
  </w:abstractNum>
  <w:abstractNum w:abstractNumId="29">
    <w:nsid w:val="61B11FB2"/>
    <w:multiLevelType w:val="multilevel"/>
    <w:tmpl w:val="2B2A43BE"/>
    <w:lvl w:ilvl="0">
      <w:start w:val="17"/>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B9610C"/>
    <w:multiLevelType w:val="multilevel"/>
    <w:tmpl w:val="A3187FD6"/>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C21728"/>
    <w:multiLevelType w:val="hybridMultilevel"/>
    <w:tmpl w:val="50B0C87A"/>
    <w:lvl w:ilvl="0" w:tplc="37284104">
      <w:start w:val="1"/>
      <w:numFmt w:val="decimal"/>
      <w:lvlText w:val="%1."/>
      <w:lvlJc w:val="left"/>
      <w:pPr>
        <w:tabs>
          <w:tab w:val="num" w:pos="720"/>
        </w:tabs>
        <w:ind w:left="720" w:hanging="720"/>
      </w:pPr>
      <w:rPr>
        <w:rFonts w:hint="default"/>
      </w:rPr>
    </w:lvl>
    <w:lvl w:ilvl="1" w:tplc="8CDC5A4E">
      <w:start w:val="1"/>
      <w:numFmt w:val="decimal"/>
      <w:lvlText w:val="1.%2"/>
      <w:lvlJc w:val="left"/>
      <w:pPr>
        <w:tabs>
          <w:tab w:val="num" w:pos="720"/>
        </w:tabs>
        <w:ind w:left="720" w:hanging="720"/>
      </w:pPr>
      <w:rPr>
        <w:rFonts w:hint="default"/>
      </w:rPr>
    </w:lvl>
    <w:lvl w:ilvl="2" w:tplc="E0A46F8A">
      <w:start w:val="1"/>
      <w:numFmt w:val="lowerRoman"/>
      <w:lvlText w:val="%3."/>
      <w:lvlJc w:val="right"/>
      <w:pPr>
        <w:tabs>
          <w:tab w:val="num" w:pos="2160"/>
        </w:tabs>
        <w:ind w:left="2160" w:hanging="180"/>
      </w:pPr>
    </w:lvl>
    <w:lvl w:ilvl="3" w:tplc="9878E290" w:tentative="1">
      <w:start w:val="1"/>
      <w:numFmt w:val="decimal"/>
      <w:lvlText w:val="%4."/>
      <w:lvlJc w:val="left"/>
      <w:pPr>
        <w:tabs>
          <w:tab w:val="num" w:pos="2880"/>
        </w:tabs>
        <w:ind w:left="2880" w:hanging="360"/>
      </w:pPr>
    </w:lvl>
    <w:lvl w:ilvl="4" w:tplc="6376292A" w:tentative="1">
      <w:start w:val="1"/>
      <w:numFmt w:val="lowerLetter"/>
      <w:lvlText w:val="%5."/>
      <w:lvlJc w:val="left"/>
      <w:pPr>
        <w:tabs>
          <w:tab w:val="num" w:pos="3600"/>
        </w:tabs>
        <w:ind w:left="3600" w:hanging="360"/>
      </w:pPr>
    </w:lvl>
    <w:lvl w:ilvl="5" w:tplc="B25CFD66" w:tentative="1">
      <w:start w:val="1"/>
      <w:numFmt w:val="lowerRoman"/>
      <w:lvlText w:val="%6."/>
      <w:lvlJc w:val="right"/>
      <w:pPr>
        <w:tabs>
          <w:tab w:val="num" w:pos="4320"/>
        </w:tabs>
        <w:ind w:left="4320" w:hanging="180"/>
      </w:pPr>
    </w:lvl>
    <w:lvl w:ilvl="6" w:tplc="E452A336" w:tentative="1">
      <w:start w:val="1"/>
      <w:numFmt w:val="decimal"/>
      <w:lvlText w:val="%7."/>
      <w:lvlJc w:val="left"/>
      <w:pPr>
        <w:tabs>
          <w:tab w:val="num" w:pos="5040"/>
        </w:tabs>
        <w:ind w:left="5040" w:hanging="360"/>
      </w:pPr>
    </w:lvl>
    <w:lvl w:ilvl="7" w:tplc="BB38F184" w:tentative="1">
      <w:start w:val="1"/>
      <w:numFmt w:val="lowerLetter"/>
      <w:lvlText w:val="%8."/>
      <w:lvlJc w:val="left"/>
      <w:pPr>
        <w:tabs>
          <w:tab w:val="num" w:pos="5760"/>
        </w:tabs>
        <w:ind w:left="5760" w:hanging="360"/>
      </w:pPr>
    </w:lvl>
    <w:lvl w:ilvl="8" w:tplc="E94822A6" w:tentative="1">
      <w:start w:val="1"/>
      <w:numFmt w:val="lowerRoman"/>
      <w:lvlText w:val="%9."/>
      <w:lvlJc w:val="right"/>
      <w:pPr>
        <w:tabs>
          <w:tab w:val="num" w:pos="6480"/>
        </w:tabs>
        <w:ind w:left="6480" w:hanging="180"/>
      </w:pPr>
    </w:lvl>
  </w:abstractNum>
  <w:abstractNum w:abstractNumId="32">
    <w:nsid w:val="6D116FF8"/>
    <w:multiLevelType w:val="multilevel"/>
    <w:tmpl w:val="BF825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FE6956"/>
    <w:multiLevelType w:val="multilevel"/>
    <w:tmpl w:val="9AAE6A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F4C07A2"/>
    <w:multiLevelType w:val="hybridMultilevel"/>
    <w:tmpl w:val="B6BA9DEE"/>
    <w:lvl w:ilvl="0" w:tplc="668A5CDA">
      <w:start w:val="1"/>
      <w:numFmt w:val="decimal"/>
      <w:lvlText w:val="%1."/>
      <w:lvlJc w:val="left"/>
      <w:pPr>
        <w:ind w:left="720" w:hanging="360"/>
      </w:pPr>
      <w:rPr>
        <w:rFonts w:hint="default"/>
      </w:rPr>
    </w:lvl>
    <w:lvl w:ilvl="1" w:tplc="A15CE14C" w:tentative="1">
      <w:start w:val="1"/>
      <w:numFmt w:val="lowerLetter"/>
      <w:lvlText w:val="%2."/>
      <w:lvlJc w:val="left"/>
      <w:pPr>
        <w:ind w:left="1440" w:hanging="360"/>
      </w:pPr>
    </w:lvl>
    <w:lvl w:ilvl="2" w:tplc="CAA4966A" w:tentative="1">
      <w:start w:val="1"/>
      <w:numFmt w:val="lowerRoman"/>
      <w:lvlText w:val="%3."/>
      <w:lvlJc w:val="right"/>
      <w:pPr>
        <w:ind w:left="2160" w:hanging="180"/>
      </w:pPr>
    </w:lvl>
    <w:lvl w:ilvl="3" w:tplc="D36EB4DC" w:tentative="1">
      <w:start w:val="1"/>
      <w:numFmt w:val="decimal"/>
      <w:lvlText w:val="%4."/>
      <w:lvlJc w:val="left"/>
      <w:pPr>
        <w:ind w:left="2880" w:hanging="360"/>
      </w:pPr>
    </w:lvl>
    <w:lvl w:ilvl="4" w:tplc="CF569C04" w:tentative="1">
      <w:start w:val="1"/>
      <w:numFmt w:val="lowerLetter"/>
      <w:lvlText w:val="%5."/>
      <w:lvlJc w:val="left"/>
      <w:pPr>
        <w:ind w:left="3600" w:hanging="360"/>
      </w:pPr>
    </w:lvl>
    <w:lvl w:ilvl="5" w:tplc="CEBC884A" w:tentative="1">
      <w:start w:val="1"/>
      <w:numFmt w:val="lowerRoman"/>
      <w:lvlText w:val="%6."/>
      <w:lvlJc w:val="right"/>
      <w:pPr>
        <w:ind w:left="4320" w:hanging="180"/>
      </w:pPr>
    </w:lvl>
    <w:lvl w:ilvl="6" w:tplc="EFF04DA8" w:tentative="1">
      <w:start w:val="1"/>
      <w:numFmt w:val="decimal"/>
      <w:lvlText w:val="%7."/>
      <w:lvlJc w:val="left"/>
      <w:pPr>
        <w:ind w:left="5040" w:hanging="360"/>
      </w:pPr>
    </w:lvl>
    <w:lvl w:ilvl="7" w:tplc="A028A546" w:tentative="1">
      <w:start w:val="1"/>
      <w:numFmt w:val="lowerLetter"/>
      <w:lvlText w:val="%8."/>
      <w:lvlJc w:val="left"/>
      <w:pPr>
        <w:ind w:left="5760" w:hanging="360"/>
      </w:pPr>
    </w:lvl>
    <w:lvl w:ilvl="8" w:tplc="1C043AF2" w:tentative="1">
      <w:start w:val="1"/>
      <w:numFmt w:val="lowerRoman"/>
      <w:lvlText w:val="%9."/>
      <w:lvlJc w:val="right"/>
      <w:pPr>
        <w:ind w:left="6480" w:hanging="180"/>
      </w:pPr>
    </w:lvl>
  </w:abstractNum>
  <w:abstractNum w:abstractNumId="35">
    <w:nsid w:val="716E50EF"/>
    <w:multiLevelType w:val="multilevel"/>
    <w:tmpl w:val="7EACF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ADC1C10"/>
    <w:multiLevelType w:val="multilevel"/>
    <w:tmpl w:val="C254BC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C0467D6"/>
    <w:multiLevelType w:val="multilevel"/>
    <w:tmpl w:val="63A2A66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D5E4530"/>
    <w:multiLevelType w:val="multilevel"/>
    <w:tmpl w:val="D9BECA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3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1"/>
  </w:num>
  <w:num w:numId="3">
    <w:abstractNumId w:val="0"/>
  </w:num>
  <w:num w:numId="4">
    <w:abstractNumId w:val="27"/>
  </w:num>
  <w:num w:numId="5">
    <w:abstractNumId w:val="32"/>
  </w:num>
  <w:num w:numId="6">
    <w:abstractNumId w:val="10"/>
  </w:num>
  <w:num w:numId="7">
    <w:abstractNumId w:val="35"/>
  </w:num>
  <w:num w:numId="8">
    <w:abstractNumId w:val="6"/>
  </w:num>
  <w:num w:numId="9">
    <w:abstractNumId w:val="14"/>
  </w:num>
  <w:num w:numId="10">
    <w:abstractNumId w:val="19"/>
  </w:num>
  <w:num w:numId="11">
    <w:abstractNumId w:val="37"/>
  </w:num>
  <w:num w:numId="12">
    <w:abstractNumId w:val="9"/>
  </w:num>
  <w:num w:numId="13">
    <w:abstractNumId w:val="20"/>
  </w:num>
  <w:num w:numId="14">
    <w:abstractNumId w:val="21"/>
  </w:num>
  <w:num w:numId="15">
    <w:abstractNumId w:val="22"/>
  </w:num>
  <w:num w:numId="16">
    <w:abstractNumId w:val="36"/>
  </w:num>
  <w:num w:numId="17">
    <w:abstractNumId w:val="23"/>
  </w:num>
  <w:num w:numId="18">
    <w:abstractNumId w:val="1"/>
  </w:num>
  <w:num w:numId="19">
    <w:abstractNumId w:val="33"/>
  </w:num>
  <w:num w:numId="20">
    <w:abstractNumId w:val="8"/>
  </w:num>
  <w:num w:numId="21">
    <w:abstractNumId w:val="3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7"/>
  </w:num>
  <w:num w:numId="26">
    <w:abstractNumId w:val="13"/>
  </w:num>
  <w:num w:numId="27">
    <w:abstractNumId w:val="5"/>
  </w:num>
  <w:num w:numId="28">
    <w:abstractNumId w:val="34"/>
  </w:num>
  <w:num w:numId="29">
    <w:abstractNumId w:val="2"/>
  </w:num>
  <w:num w:numId="30">
    <w:abstractNumId w:val="29"/>
  </w:num>
  <w:num w:numId="31">
    <w:abstractNumId w:val="25"/>
  </w:num>
  <w:num w:numId="32">
    <w:abstractNumId w:val="18"/>
  </w:num>
  <w:num w:numId="33">
    <w:abstractNumId w:val="30"/>
  </w:num>
  <w:num w:numId="34">
    <w:abstractNumId w:val="7"/>
  </w:num>
  <w:num w:numId="35">
    <w:abstractNumId w:val="26"/>
  </w:num>
  <w:num w:numId="36">
    <w:abstractNumId w:val="16"/>
  </w:num>
  <w:num w:numId="37">
    <w:abstractNumId w:val="15"/>
  </w:num>
  <w:num w:numId="38">
    <w:abstractNumId w:val="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7/12/2020 09:17"/>
  </w:docVars>
  <w:rsids>
    <w:rsidRoot w:val="00333FAA"/>
    <w:rsid w:val="0000089B"/>
    <w:rsid w:val="000033ED"/>
    <w:rsid w:val="000041FD"/>
    <w:rsid w:val="000204CC"/>
    <w:rsid w:val="00027314"/>
    <w:rsid w:val="00031C54"/>
    <w:rsid w:val="000340D6"/>
    <w:rsid w:val="0004029A"/>
    <w:rsid w:val="00051657"/>
    <w:rsid w:val="00053687"/>
    <w:rsid w:val="00056F1E"/>
    <w:rsid w:val="0006034E"/>
    <w:rsid w:val="00063783"/>
    <w:rsid w:val="00070522"/>
    <w:rsid w:val="00073765"/>
    <w:rsid w:val="00083984"/>
    <w:rsid w:val="00085681"/>
    <w:rsid w:val="000859B8"/>
    <w:rsid w:val="00090D57"/>
    <w:rsid w:val="00097CEE"/>
    <w:rsid w:val="000A12DE"/>
    <w:rsid w:val="000A5FAB"/>
    <w:rsid w:val="000B72CB"/>
    <w:rsid w:val="000B788F"/>
    <w:rsid w:val="000E3E24"/>
    <w:rsid w:val="000E739F"/>
    <w:rsid w:val="000F751A"/>
    <w:rsid w:val="00105980"/>
    <w:rsid w:val="00107C60"/>
    <w:rsid w:val="001161E4"/>
    <w:rsid w:val="00125A26"/>
    <w:rsid w:val="00133A37"/>
    <w:rsid w:val="00151B95"/>
    <w:rsid w:val="001672AC"/>
    <w:rsid w:val="00175EAE"/>
    <w:rsid w:val="001763D6"/>
    <w:rsid w:val="0017653E"/>
    <w:rsid w:val="001776DA"/>
    <w:rsid w:val="001840D2"/>
    <w:rsid w:val="001966D7"/>
    <w:rsid w:val="001A0E1C"/>
    <w:rsid w:val="001B4B02"/>
    <w:rsid w:val="001C4D2E"/>
    <w:rsid w:val="001C54AB"/>
    <w:rsid w:val="001C7E35"/>
    <w:rsid w:val="001D6997"/>
    <w:rsid w:val="001D72C5"/>
    <w:rsid w:val="001E3394"/>
    <w:rsid w:val="001E3C06"/>
    <w:rsid w:val="001E3D0A"/>
    <w:rsid w:val="001F0BE9"/>
    <w:rsid w:val="001F5ACE"/>
    <w:rsid w:val="001F6802"/>
    <w:rsid w:val="00202D79"/>
    <w:rsid w:val="0020409B"/>
    <w:rsid w:val="00205D2F"/>
    <w:rsid w:val="00206423"/>
    <w:rsid w:val="00215E8F"/>
    <w:rsid w:val="00232BEE"/>
    <w:rsid w:val="00240AEF"/>
    <w:rsid w:val="002548D1"/>
    <w:rsid w:val="00273B9B"/>
    <w:rsid w:val="00274D79"/>
    <w:rsid w:val="0028019B"/>
    <w:rsid w:val="00283EF4"/>
    <w:rsid w:val="002916BD"/>
    <w:rsid w:val="00295D8C"/>
    <w:rsid w:val="002A5863"/>
    <w:rsid w:val="002B4DDB"/>
    <w:rsid w:val="002B54A6"/>
    <w:rsid w:val="002D20AB"/>
    <w:rsid w:val="002D455D"/>
    <w:rsid w:val="002E3C79"/>
    <w:rsid w:val="002F0156"/>
    <w:rsid w:val="002F3EE9"/>
    <w:rsid w:val="00303FD6"/>
    <w:rsid w:val="00312674"/>
    <w:rsid w:val="003313EA"/>
    <w:rsid w:val="00333FAA"/>
    <w:rsid w:val="003355D7"/>
    <w:rsid w:val="00344098"/>
    <w:rsid w:val="00373CFB"/>
    <w:rsid w:val="0039170C"/>
    <w:rsid w:val="00391B17"/>
    <w:rsid w:val="00393036"/>
    <w:rsid w:val="003936EF"/>
    <w:rsid w:val="003A62C8"/>
    <w:rsid w:val="003D4C07"/>
    <w:rsid w:val="003D78F6"/>
    <w:rsid w:val="003E0287"/>
    <w:rsid w:val="003F2FD4"/>
    <w:rsid w:val="003F40D4"/>
    <w:rsid w:val="004071D3"/>
    <w:rsid w:val="00426872"/>
    <w:rsid w:val="004354BB"/>
    <w:rsid w:val="00435B5D"/>
    <w:rsid w:val="004363F7"/>
    <w:rsid w:val="00437D44"/>
    <w:rsid w:val="0045512A"/>
    <w:rsid w:val="00457BF0"/>
    <w:rsid w:val="004603E1"/>
    <w:rsid w:val="00466666"/>
    <w:rsid w:val="00471C1F"/>
    <w:rsid w:val="004771A2"/>
    <w:rsid w:val="00482CC8"/>
    <w:rsid w:val="0049654C"/>
    <w:rsid w:val="004A2543"/>
    <w:rsid w:val="004A4188"/>
    <w:rsid w:val="004B0B0A"/>
    <w:rsid w:val="004B480D"/>
    <w:rsid w:val="004B4AE8"/>
    <w:rsid w:val="004C1F81"/>
    <w:rsid w:val="004D2DA0"/>
    <w:rsid w:val="004E14A4"/>
    <w:rsid w:val="004E47FC"/>
    <w:rsid w:val="004F782E"/>
    <w:rsid w:val="00503153"/>
    <w:rsid w:val="0051281F"/>
    <w:rsid w:val="0052010E"/>
    <w:rsid w:val="00522207"/>
    <w:rsid w:val="00523E30"/>
    <w:rsid w:val="00524743"/>
    <w:rsid w:val="00525852"/>
    <w:rsid w:val="005334CB"/>
    <w:rsid w:val="00535987"/>
    <w:rsid w:val="00543B5A"/>
    <w:rsid w:val="00543F08"/>
    <w:rsid w:val="0054590F"/>
    <w:rsid w:val="005505E1"/>
    <w:rsid w:val="005514B8"/>
    <w:rsid w:val="0055219F"/>
    <w:rsid w:val="00564447"/>
    <w:rsid w:val="005674F6"/>
    <w:rsid w:val="005718B5"/>
    <w:rsid w:val="00573731"/>
    <w:rsid w:val="005772F9"/>
    <w:rsid w:val="005808FB"/>
    <w:rsid w:val="0058523B"/>
    <w:rsid w:val="005916BE"/>
    <w:rsid w:val="005A6A5E"/>
    <w:rsid w:val="005C0337"/>
    <w:rsid w:val="005C1039"/>
    <w:rsid w:val="005D6EF5"/>
    <w:rsid w:val="005E22AD"/>
    <w:rsid w:val="005E3A10"/>
    <w:rsid w:val="005E5F36"/>
    <w:rsid w:val="005E7509"/>
    <w:rsid w:val="006003F7"/>
    <w:rsid w:val="00602636"/>
    <w:rsid w:val="00620D3E"/>
    <w:rsid w:val="006231AA"/>
    <w:rsid w:val="006234C3"/>
    <w:rsid w:val="00655044"/>
    <w:rsid w:val="006740C9"/>
    <w:rsid w:val="0067687A"/>
    <w:rsid w:val="00696A83"/>
    <w:rsid w:val="00697874"/>
    <w:rsid w:val="006A1AF5"/>
    <w:rsid w:val="006A1CE1"/>
    <w:rsid w:val="006B2B38"/>
    <w:rsid w:val="006C13AC"/>
    <w:rsid w:val="006D761C"/>
    <w:rsid w:val="006F057C"/>
    <w:rsid w:val="00711526"/>
    <w:rsid w:val="00714BEE"/>
    <w:rsid w:val="0071501D"/>
    <w:rsid w:val="00721215"/>
    <w:rsid w:val="00733490"/>
    <w:rsid w:val="007355FD"/>
    <w:rsid w:val="0074358C"/>
    <w:rsid w:val="0074599D"/>
    <w:rsid w:val="007578D4"/>
    <w:rsid w:val="00760CDA"/>
    <w:rsid w:val="007A1299"/>
    <w:rsid w:val="007B473C"/>
    <w:rsid w:val="007B5847"/>
    <w:rsid w:val="007C0DC3"/>
    <w:rsid w:val="007C2817"/>
    <w:rsid w:val="007D4DBF"/>
    <w:rsid w:val="007E1813"/>
    <w:rsid w:val="007E3195"/>
    <w:rsid w:val="007E4732"/>
    <w:rsid w:val="007E5C9C"/>
    <w:rsid w:val="007F004E"/>
    <w:rsid w:val="0081223E"/>
    <w:rsid w:val="00812901"/>
    <w:rsid w:val="00826B9A"/>
    <w:rsid w:val="00830465"/>
    <w:rsid w:val="00856820"/>
    <w:rsid w:val="00881B95"/>
    <w:rsid w:val="008825E2"/>
    <w:rsid w:val="0089039E"/>
    <w:rsid w:val="00891914"/>
    <w:rsid w:val="008C1800"/>
    <w:rsid w:val="008C69F5"/>
    <w:rsid w:val="008D08D3"/>
    <w:rsid w:val="008D18E1"/>
    <w:rsid w:val="008D7AC0"/>
    <w:rsid w:val="008E224D"/>
    <w:rsid w:val="00905B76"/>
    <w:rsid w:val="009117F2"/>
    <w:rsid w:val="00926BCA"/>
    <w:rsid w:val="0092709B"/>
    <w:rsid w:val="00940234"/>
    <w:rsid w:val="009658D2"/>
    <w:rsid w:val="00971BFA"/>
    <w:rsid w:val="009817B4"/>
    <w:rsid w:val="00990E9C"/>
    <w:rsid w:val="00996C16"/>
    <w:rsid w:val="009B160B"/>
    <w:rsid w:val="009B2037"/>
    <w:rsid w:val="009C2239"/>
    <w:rsid w:val="009D59F7"/>
    <w:rsid w:val="009F071A"/>
    <w:rsid w:val="009F5FD4"/>
    <w:rsid w:val="00A020CF"/>
    <w:rsid w:val="00A15755"/>
    <w:rsid w:val="00A20113"/>
    <w:rsid w:val="00A22839"/>
    <w:rsid w:val="00A33185"/>
    <w:rsid w:val="00A37F59"/>
    <w:rsid w:val="00A406F3"/>
    <w:rsid w:val="00A41757"/>
    <w:rsid w:val="00A43637"/>
    <w:rsid w:val="00A45797"/>
    <w:rsid w:val="00A4712B"/>
    <w:rsid w:val="00A53B04"/>
    <w:rsid w:val="00A64C6D"/>
    <w:rsid w:val="00A66326"/>
    <w:rsid w:val="00A7271A"/>
    <w:rsid w:val="00AA1B86"/>
    <w:rsid w:val="00AB1FF2"/>
    <w:rsid w:val="00AB607B"/>
    <w:rsid w:val="00AB795F"/>
    <w:rsid w:val="00AC6312"/>
    <w:rsid w:val="00AE4902"/>
    <w:rsid w:val="00AE57B8"/>
    <w:rsid w:val="00B1160D"/>
    <w:rsid w:val="00B1377E"/>
    <w:rsid w:val="00B272FB"/>
    <w:rsid w:val="00B36E7B"/>
    <w:rsid w:val="00B4699D"/>
    <w:rsid w:val="00B54AFA"/>
    <w:rsid w:val="00B64D25"/>
    <w:rsid w:val="00B668D1"/>
    <w:rsid w:val="00B679E6"/>
    <w:rsid w:val="00B73D2D"/>
    <w:rsid w:val="00B766D8"/>
    <w:rsid w:val="00B804E8"/>
    <w:rsid w:val="00B805DB"/>
    <w:rsid w:val="00B81775"/>
    <w:rsid w:val="00B83A81"/>
    <w:rsid w:val="00B8635C"/>
    <w:rsid w:val="00B935CB"/>
    <w:rsid w:val="00B95E1A"/>
    <w:rsid w:val="00BC206C"/>
    <w:rsid w:val="00BD133B"/>
    <w:rsid w:val="00BD272A"/>
    <w:rsid w:val="00BE2FFC"/>
    <w:rsid w:val="00BE31A9"/>
    <w:rsid w:val="00BF0A84"/>
    <w:rsid w:val="00C01A35"/>
    <w:rsid w:val="00C13A5F"/>
    <w:rsid w:val="00C1497D"/>
    <w:rsid w:val="00C27BF5"/>
    <w:rsid w:val="00C30991"/>
    <w:rsid w:val="00C31DBE"/>
    <w:rsid w:val="00C32A1F"/>
    <w:rsid w:val="00C34B30"/>
    <w:rsid w:val="00C42D7B"/>
    <w:rsid w:val="00C449E5"/>
    <w:rsid w:val="00C53C15"/>
    <w:rsid w:val="00C57267"/>
    <w:rsid w:val="00C7109F"/>
    <w:rsid w:val="00C76CA6"/>
    <w:rsid w:val="00C80868"/>
    <w:rsid w:val="00C824E4"/>
    <w:rsid w:val="00CA1467"/>
    <w:rsid w:val="00CA1F5A"/>
    <w:rsid w:val="00CA7357"/>
    <w:rsid w:val="00CC2A6A"/>
    <w:rsid w:val="00CC604C"/>
    <w:rsid w:val="00CF6932"/>
    <w:rsid w:val="00D0381E"/>
    <w:rsid w:val="00D0788D"/>
    <w:rsid w:val="00D22091"/>
    <w:rsid w:val="00D26B12"/>
    <w:rsid w:val="00D31F9C"/>
    <w:rsid w:val="00D346A6"/>
    <w:rsid w:val="00D37F2F"/>
    <w:rsid w:val="00D44B6B"/>
    <w:rsid w:val="00D451A8"/>
    <w:rsid w:val="00D54E2A"/>
    <w:rsid w:val="00D60DA2"/>
    <w:rsid w:val="00D658E0"/>
    <w:rsid w:val="00D65ED7"/>
    <w:rsid w:val="00D7634E"/>
    <w:rsid w:val="00D76E2D"/>
    <w:rsid w:val="00D835CF"/>
    <w:rsid w:val="00D84D73"/>
    <w:rsid w:val="00D867A2"/>
    <w:rsid w:val="00DA07EC"/>
    <w:rsid w:val="00DA26FB"/>
    <w:rsid w:val="00DA538F"/>
    <w:rsid w:val="00DB215A"/>
    <w:rsid w:val="00DB6C3D"/>
    <w:rsid w:val="00DB6C91"/>
    <w:rsid w:val="00DC5ACF"/>
    <w:rsid w:val="00DE3431"/>
    <w:rsid w:val="00DE71D3"/>
    <w:rsid w:val="00DE7998"/>
    <w:rsid w:val="00DF08A0"/>
    <w:rsid w:val="00E031A5"/>
    <w:rsid w:val="00E056DE"/>
    <w:rsid w:val="00E07970"/>
    <w:rsid w:val="00E1045D"/>
    <w:rsid w:val="00E15B1C"/>
    <w:rsid w:val="00E15C42"/>
    <w:rsid w:val="00E1783F"/>
    <w:rsid w:val="00E23E93"/>
    <w:rsid w:val="00E31F15"/>
    <w:rsid w:val="00E32ADC"/>
    <w:rsid w:val="00E41375"/>
    <w:rsid w:val="00E45F7A"/>
    <w:rsid w:val="00E47B71"/>
    <w:rsid w:val="00E5116E"/>
    <w:rsid w:val="00E5712C"/>
    <w:rsid w:val="00E66293"/>
    <w:rsid w:val="00E741B5"/>
    <w:rsid w:val="00E76819"/>
    <w:rsid w:val="00E80380"/>
    <w:rsid w:val="00E80E55"/>
    <w:rsid w:val="00E83EA6"/>
    <w:rsid w:val="00EB5E57"/>
    <w:rsid w:val="00EC2C07"/>
    <w:rsid w:val="00EC7C17"/>
    <w:rsid w:val="00ED1D6A"/>
    <w:rsid w:val="00ED6776"/>
    <w:rsid w:val="00EE1ACE"/>
    <w:rsid w:val="00EF001C"/>
    <w:rsid w:val="00F05117"/>
    <w:rsid w:val="00F14349"/>
    <w:rsid w:val="00F157BE"/>
    <w:rsid w:val="00F16E18"/>
    <w:rsid w:val="00F30F61"/>
    <w:rsid w:val="00F31A12"/>
    <w:rsid w:val="00F32D7D"/>
    <w:rsid w:val="00F5649A"/>
    <w:rsid w:val="00F64CE0"/>
    <w:rsid w:val="00F82342"/>
    <w:rsid w:val="00F86F94"/>
    <w:rsid w:val="00F91AE4"/>
    <w:rsid w:val="00F97F45"/>
    <w:rsid w:val="00FB04E9"/>
    <w:rsid w:val="00FB1231"/>
    <w:rsid w:val="00FB2D07"/>
    <w:rsid w:val="00FB3437"/>
    <w:rsid w:val="00FC072F"/>
    <w:rsid w:val="00FC5B8D"/>
    <w:rsid w:val="00FE17E2"/>
    <w:rsid w:val="00FE7D9A"/>
    <w:rsid w:val="00FF0B1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A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rsid w:val="00333FAA"/>
    <w:pPr>
      <w:tabs>
        <w:tab w:val="center" w:pos="4153"/>
        <w:tab w:val="right" w:pos="8306"/>
      </w:tabs>
    </w:pPr>
  </w:style>
  <w:style w:type="paragraph" w:styleId="FootnoteText">
    <w:name w:val="footnote text"/>
    <w:basedOn w:val="Normal"/>
    <w:link w:val="FootnoteTextChar"/>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styleId="CommentReference">
    <w:name w:val="annotation reference"/>
    <w:rsid w:val="00C27BF5"/>
    <w:rPr>
      <w:sz w:val="16"/>
      <w:szCs w:val="16"/>
    </w:rPr>
  </w:style>
  <w:style w:type="paragraph" w:styleId="CommentText">
    <w:name w:val="annotation text"/>
    <w:basedOn w:val="Normal"/>
    <w:link w:val="CommentTextChar"/>
    <w:rsid w:val="00C27BF5"/>
    <w:rPr>
      <w:sz w:val="20"/>
    </w:rPr>
  </w:style>
  <w:style w:type="character" w:customStyle="1" w:styleId="CommentTextChar">
    <w:name w:val="Comment Text Char"/>
    <w:link w:val="CommentText"/>
    <w:rsid w:val="00C27BF5"/>
    <w:rPr>
      <w:rFonts w:ascii="Arial" w:hAnsi="Arial"/>
      <w:lang w:eastAsia="en-US"/>
    </w:rPr>
  </w:style>
  <w:style w:type="paragraph" w:styleId="BalloonText">
    <w:name w:val="Balloon Text"/>
    <w:basedOn w:val="Normal"/>
    <w:link w:val="BalloonTextChar"/>
    <w:rsid w:val="00C27BF5"/>
    <w:rPr>
      <w:rFonts w:ascii="Tahoma" w:hAnsi="Tahoma" w:cs="Tahoma"/>
      <w:sz w:val="16"/>
      <w:szCs w:val="16"/>
    </w:rPr>
  </w:style>
  <w:style w:type="character" w:customStyle="1" w:styleId="BalloonTextChar">
    <w:name w:val="Balloon Text Char"/>
    <w:link w:val="BalloonText"/>
    <w:rsid w:val="00C27BF5"/>
    <w:rPr>
      <w:rFonts w:ascii="Tahoma" w:hAnsi="Tahoma" w:cs="Tahoma"/>
      <w:sz w:val="16"/>
      <w:szCs w:val="16"/>
      <w:lang w:eastAsia="en-US"/>
    </w:rPr>
  </w:style>
  <w:style w:type="paragraph" w:styleId="BodyTextIndent2">
    <w:name w:val="Body Text Indent 2"/>
    <w:basedOn w:val="Normal"/>
    <w:link w:val="BodyTextIndent2Char"/>
    <w:rsid w:val="00C27BF5"/>
    <w:pPr>
      <w:spacing w:after="120" w:line="480" w:lineRule="auto"/>
      <w:ind w:left="283"/>
    </w:pPr>
  </w:style>
  <w:style w:type="character" w:customStyle="1" w:styleId="BodyTextIndent2Char">
    <w:name w:val="Body Text Indent 2 Char"/>
    <w:link w:val="BodyTextIndent2"/>
    <w:rsid w:val="00C27BF5"/>
    <w:rPr>
      <w:rFonts w:ascii="Arial" w:hAnsi="Arial"/>
      <w:sz w:val="24"/>
      <w:lang w:eastAsia="en-US"/>
    </w:rPr>
  </w:style>
  <w:style w:type="paragraph" w:styleId="ListParagraph">
    <w:name w:val="List Paragraph"/>
    <w:basedOn w:val="Normal"/>
    <w:qFormat/>
    <w:rsid w:val="00107C60"/>
    <w:pPr>
      <w:ind w:left="720"/>
    </w:pPr>
  </w:style>
  <w:style w:type="paragraph" w:styleId="ListBullet">
    <w:name w:val="List Bullet"/>
    <w:basedOn w:val="Normal"/>
    <w:rsid w:val="000204CC"/>
    <w:pPr>
      <w:numPr>
        <w:numId w:val="3"/>
      </w:numPr>
      <w:contextualSpacing/>
    </w:pPr>
  </w:style>
  <w:style w:type="character" w:customStyle="1" w:styleId="Heading4Char">
    <w:name w:val="Heading 4 Char"/>
    <w:link w:val="Heading4"/>
    <w:rsid w:val="001E3D0A"/>
    <w:rPr>
      <w:rFonts w:ascii="Arial" w:hAnsi="Arial" w:cs="Arial"/>
      <w:b/>
      <w:sz w:val="24"/>
      <w:lang w:eastAsia="en-US"/>
    </w:rPr>
  </w:style>
  <w:style w:type="paragraph" w:customStyle="1" w:styleId="loose">
    <w:name w:val="loose"/>
    <w:basedOn w:val="Normal"/>
    <w:rsid w:val="00996C16"/>
    <w:pPr>
      <w:spacing w:before="210"/>
    </w:pPr>
    <w:rPr>
      <w:rFonts w:ascii="Times New Roman" w:hAnsi="Times New Roman"/>
      <w:szCs w:val="24"/>
      <w:lang w:eastAsia="en-GB"/>
    </w:rPr>
  </w:style>
  <w:style w:type="paragraph" w:styleId="CommentSubject">
    <w:name w:val="annotation subject"/>
    <w:basedOn w:val="CommentText"/>
    <w:next w:val="CommentText"/>
    <w:link w:val="CommentSubjectChar"/>
    <w:rsid w:val="003F40D4"/>
    <w:rPr>
      <w:b/>
      <w:bCs/>
    </w:rPr>
  </w:style>
  <w:style w:type="character" w:customStyle="1" w:styleId="CommentSubjectChar">
    <w:name w:val="Comment Subject Char"/>
    <w:link w:val="CommentSubject"/>
    <w:rsid w:val="003F40D4"/>
    <w:rPr>
      <w:rFonts w:ascii="Arial" w:hAnsi="Arial"/>
      <w:b/>
      <w:bCs/>
      <w:lang w:eastAsia="en-US"/>
    </w:rPr>
  </w:style>
  <w:style w:type="character" w:customStyle="1" w:styleId="UnresolvedMention">
    <w:name w:val="Unresolved Mention"/>
    <w:uiPriority w:val="99"/>
    <w:semiHidden/>
    <w:unhideWhenUsed/>
    <w:rsid w:val="00C824E4"/>
    <w:rPr>
      <w:color w:val="605E5C"/>
      <w:shd w:val="clear" w:color="auto" w:fill="E1DFDD"/>
    </w:rPr>
  </w:style>
  <w:style w:type="character" w:customStyle="1" w:styleId="Heading1Char">
    <w:name w:val="Heading 1 Char"/>
    <w:link w:val="Heading1"/>
    <w:rsid w:val="00C824E4"/>
    <w:rPr>
      <w:rFonts w:ascii="Arial Black" w:hAnsi="Arial Black" w:cs="Arial"/>
      <w:bCs/>
      <w:sz w:val="32"/>
      <w:szCs w:val="32"/>
      <w:lang w:eastAsia="en-US"/>
    </w:rPr>
  </w:style>
  <w:style w:type="character" w:customStyle="1" w:styleId="Heading2Char">
    <w:name w:val="Heading 2 Char"/>
    <w:link w:val="Heading2"/>
    <w:rsid w:val="004B0B0A"/>
    <w:rPr>
      <w:rFonts w:ascii="Arial" w:hAnsi="Arial" w:cs="Arial"/>
      <w:b/>
      <w:bCs/>
      <w:sz w:val="28"/>
      <w:szCs w:val="32"/>
      <w:lang w:eastAsia="en-US"/>
    </w:rPr>
  </w:style>
  <w:style w:type="character" w:customStyle="1" w:styleId="Heading3Char">
    <w:name w:val="Heading 3 Char"/>
    <w:link w:val="Heading3"/>
    <w:rsid w:val="00E031A5"/>
    <w:rPr>
      <w:rFonts w:ascii="Arial" w:hAnsi="Arial" w:cs="Arial"/>
      <w:b/>
      <w:bCs/>
      <w:i/>
      <w:sz w:val="24"/>
      <w:szCs w:val="28"/>
      <w:lang w:eastAsia="en-US"/>
    </w:rPr>
  </w:style>
  <w:style w:type="character" w:customStyle="1" w:styleId="FooterChar">
    <w:name w:val="Footer Char"/>
    <w:link w:val="Footer"/>
    <w:rsid w:val="00CA1467"/>
    <w:rPr>
      <w:rFonts w:ascii="Arial" w:hAnsi="Arial"/>
      <w:sz w:val="24"/>
      <w:szCs w:val="24"/>
      <w:lang w:val="en-US" w:eastAsia="en-US"/>
    </w:rPr>
  </w:style>
  <w:style w:type="character" w:customStyle="1" w:styleId="HeaderChar">
    <w:name w:val="Header Char"/>
    <w:link w:val="Header"/>
    <w:rsid w:val="00CA1467"/>
    <w:rPr>
      <w:rFonts w:ascii="Arial" w:hAnsi="Arial"/>
      <w:sz w:val="24"/>
      <w:lang w:eastAsia="en-US"/>
    </w:rPr>
  </w:style>
  <w:style w:type="character" w:customStyle="1" w:styleId="FootnoteTextChar">
    <w:name w:val="Footnote Text Char"/>
    <w:link w:val="FootnoteText"/>
    <w:semiHidden/>
    <w:rsid w:val="00CA1467"/>
    <w:rPr>
      <w:lang w:eastAsia="en-US"/>
    </w:rPr>
  </w:style>
  <w:style w:type="character" w:customStyle="1" w:styleId="BodyTextChar">
    <w:name w:val="Body Text Char"/>
    <w:link w:val="BodyText"/>
    <w:rsid w:val="00CA1467"/>
    <w:rPr>
      <w:rFonts w:ascii="Arial" w:hAnsi="Arial" w:cs="Arial"/>
      <w:i/>
      <w:iCs/>
      <w:sz w:val="24"/>
      <w:lang w:eastAsia="en-US"/>
    </w:rPr>
  </w:style>
  <w:style w:type="character" w:styleId="FollowedHyperlink">
    <w:name w:val="FollowedHyperlink"/>
    <w:rsid w:val="00CA1467"/>
    <w:rPr>
      <w:color w:val="800080"/>
      <w:u w:val="single"/>
    </w:rPr>
  </w:style>
  <w:style w:type="paragraph" w:customStyle="1" w:styleId="xmsonormal">
    <w:name w:val="x_msonormal"/>
    <w:basedOn w:val="Normal"/>
    <w:rsid w:val="0081223E"/>
    <w:rPr>
      <w:rFonts w:ascii="Calibri" w:eastAsia="Calibri" w:hAnsi="Calibri" w:cs="Calibri"/>
      <w:sz w:val="22"/>
      <w:szCs w:val="22"/>
      <w:lang w:eastAsia="en-GB"/>
    </w:rPr>
  </w:style>
  <w:style w:type="paragraph" w:customStyle="1" w:styleId="xmsolistparagraph">
    <w:name w:val="x_msolistparagraph"/>
    <w:basedOn w:val="Normal"/>
    <w:rsid w:val="0081223E"/>
    <w:pPr>
      <w:ind w:left="720"/>
    </w:pPr>
    <w:rPr>
      <w:rFonts w:ascii="Calibri" w:eastAsia="Calibri" w:hAnsi="Calibri" w:cs="Calibri"/>
      <w:sz w:val="22"/>
      <w:szCs w:val="22"/>
      <w:lang w:eastAsia="en-GB"/>
    </w:rPr>
  </w:style>
  <w:style w:type="character" w:styleId="Emphasis">
    <w:name w:val="Emphasis"/>
    <w:basedOn w:val="DefaultParagraphFont"/>
    <w:uiPriority w:val="20"/>
    <w:qFormat/>
    <w:rsid w:val="001D6997"/>
    <w:rPr>
      <w:i/>
      <w:iCs/>
    </w:rPr>
  </w:style>
  <w:style w:type="table" w:customStyle="1" w:styleId="Style1">
    <w:name w:val="Style1"/>
    <w:basedOn w:val="TableNormal"/>
    <w:uiPriority w:val="99"/>
    <w:rsid w:val="0039170C"/>
    <w:rPr>
      <w:rFonts w:ascii="Arial" w:hAnsi="Arial"/>
      <w:sz w:val="24"/>
    </w:rPr>
    <w:tblPr/>
    <w:tcPr>
      <w:shd w:val="clear" w:color="auto" w:fill="FFFFFF" w:themeFill="background1"/>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rsid w:val="00333FAA"/>
    <w:pPr>
      <w:tabs>
        <w:tab w:val="center" w:pos="4153"/>
        <w:tab w:val="right" w:pos="8306"/>
      </w:tabs>
    </w:pPr>
  </w:style>
  <w:style w:type="paragraph" w:styleId="FootnoteText">
    <w:name w:val="footnote text"/>
    <w:basedOn w:val="Normal"/>
    <w:link w:val="FootnoteTextChar"/>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styleId="CommentReference">
    <w:name w:val="annotation reference"/>
    <w:rsid w:val="00C27BF5"/>
    <w:rPr>
      <w:sz w:val="16"/>
      <w:szCs w:val="16"/>
    </w:rPr>
  </w:style>
  <w:style w:type="paragraph" w:styleId="CommentText">
    <w:name w:val="annotation text"/>
    <w:basedOn w:val="Normal"/>
    <w:link w:val="CommentTextChar"/>
    <w:rsid w:val="00C27BF5"/>
    <w:rPr>
      <w:sz w:val="20"/>
    </w:rPr>
  </w:style>
  <w:style w:type="character" w:customStyle="1" w:styleId="CommentTextChar">
    <w:name w:val="Comment Text Char"/>
    <w:link w:val="CommentText"/>
    <w:rsid w:val="00C27BF5"/>
    <w:rPr>
      <w:rFonts w:ascii="Arial" w:hAnsi="Arial"/>
      <w:lang w:eastAsia="en-US"/>
    </w:rPr>
  </w:style>
  <w:style w:type="paragraph" w:styleId="BalloonText">
    <w:name w:val="Balloon Text"/>
    <w:basedOn w:val="Normal"/>
    <w:link w:val="BalloonTextChar"/>
    <w:rsid w:val="00C27BF5"/>
    <w:rPr>
      <w:rFonts w:ascii="Tahoma" w:hAnsi="Tahoma" w:cs="Tahoma"/>
      <w:sz w:val="16"/>
      <w:szCs w:val="16"/>
    </w:rPr>
  </w:style>
  <w:style w:type="character" w:customStyle="1" w:styleId="BalloonTextChar">
    <w:name w:val="Balloon Text Char"/>
    <w:link w:val="BalloonText"/>
    <w:rsid w:val="00C27BF5"/>
    <w:rPr>
      <w:rFonts w:ascii="Tahoma" w:hAnsi="Tahoma" w:cs="Tahoma"/>
      <w:sz w:val="16"/>
      <w:szCs w:val="16"/>
      <w:lang w:eastAsia="en-US"/>
    </w:rPr>
  </w:style>
  <w:style w:type="paragraph" w:styleId="BodyTextIndent2">
    <w:name w:val="Body Text Indent 2"/>
    <w:basedOn w:val="Normal"/>
    <w:link w:val="BodyTextIndent2Char"/>
    <w:rsid w:val="00C27BF5"/>
    <w:pPr>
      <w:spacing w:after="120" w:line="480" w:lineRule="auto"/>
      <w:ind w:left="283"/>
    </w:pPr>
  </w:style>
  <w:style w:type="character" w:customStyle="1" w:styleId="BodyTextIndent2Char">
    <w:name w:val="Body Text Indent 2 Char"/>
    <w:link w:val="BodyTextIndent2"/>
    <w:rsid w:val="00C27BF5"/>
    <w:rPr>
      <w:rFonts w:ascii="Arial" w:hAnsi="Arial"/>
      <w:sz w:val="24"/>
      <w:lang w:eastAsia="en-US"/>
    </w:rPr>
  </w:style>
  <w:style w:type="paragraph" w:styleId="ListParagraph">
    <w:name w:val="List Paragraph"/>
    <w:basedOn w:val="Normal"/>
    <w:qFormat/>
    <w:rsid w:val="00107C60"/>
    <w:pPr>
      <w:ind w:left="720"/>
    </w:pPr>
  </w:style>
  <w:style w:type="paragraph" w:styleId="ListBullet">
    <w:name w:val="List Bullet"/>
    <w:basedOn w:val="Normal"/>
    <w:rsid w:val="000204CC"/>
    <w:pPr>
      <w:numPr>
        <w:numId w:val="3"/>
      </w:numPr>
      <w:contextualSpacing/>
    </w:pPr>
  </w:style>
  <w:style w:type="character" w:customStyle="1" w:styleId="Heading4Char">
    <w:name w:val="Heading 4 Char"/>
    <w:link w:val="Heading4"/>
    <w:rsid w:val="001E3D0A"/>
    <w:rPr>
      <w:rFonts w:ascii="Arial" w:hAnsi="Arial" w:cs="Arial"/>
      <w:b/>
      <w:sz w:val="24"/>
      <w:lang w:eastAsia="en-US"/>
    </w:rPr>
  </w:style>
  <w:style w:type="paragraph" w:customStyle="1" w:styleId="loose">
    <w:name w:val="loose"/>
    <w:basedOn w:val="Normal"/>
    <w:rsid w:val="00996C16"/>
    <w:pPr>
      <w:spacing w:before="210"/>
    </w:pPr>
    <w:rPr>
      <w:rFonts w:ascii="Times New Roman" w:hAnsi="Times New Roman"/>
      <w:szCs w:val="24"/>
      <w:lang w:eastAsia="en-GB"/>
    </w:rPr>
  </w:style>
  <w:style w:type="paragraph" w:styleId="CommentSubject">
    <w:name w:val="annotation subject"/>
    <w:basedOn w:val="CommentText"/>
    <w:next w:val="CommentText"/>
    <w:link w:val="CommentSubjectChar"/>
    <w:rsid w:val="003F40D4"/>
    <w:rPr>
      <w:b/>
      <w:bCs/>
    </w:rPr>
  </w:style>
  <w:style w:type="character" w:customStyle="1" w:styleId="CommentSubjectChar">
    <w:name w:val="Comment Subject Char"/>
    <w:link w:val="CommentSubject"/>
    <w:rsid w:val="003F40D4"/>
    <w:rPr>
      <w:rFonts w:ascii="Arial" w:hAnsi="Arial"/>
      <w:b/>
      <w:bCs/>
      <w:lang w:eastAsia="en-US"/>
    </w:rPr>
  </w:style>
  <w:style w:type="character" w:customStyle="1" w:styleId="UnresolvedMention">
    <w:name w:val="Unresolved Mention"/>
    <w:uiPriority w:val="99"/>
    <w:semiHidden/>
    <w:unhideWhenUsed/>
    <w:rsid w:val="00C824E4"/>
    <w:rPr>
      <w:color w:val="605E5C"/>
      <w:shd w:val="clear" w:color="auto" w:fill="E1DFDD"/>
    </w:rPr>
  </w:style>
  <w:style w:type="character" w:customStyle="1" w:styleId="Heading1Char">
    <w:name w:val="Heading 1 Char"/>
    <w:link w:val="Heading1"/>
    <w:rsid w:val="00C824E4"/>
    <w:rPr>
      <w:rFonts w:ascii="Arial Black" w:hAnsi="Arial Black" w:cs="Arial"/>
      <w:bCs/>
      <w:sz w:val="32"/>
      <w:szCs w:val="32"/>
      <w:lang w:eastAsia="en-US"/>
    </w:rPr>
  </w:style>
  <w:style w:type="character" w:customStyle="1" w:styleId="Heading2Char">
    <w:name w:val="Heading 2 Char"/>
    <w:link w:val="Heading2"/>
    <w:rsid w:val="004B0B0A"/>
    <w:rPr>
      <w:rFonts w:ascii="Arial" w:hAnsi="Arial" w:cs="Arial"/>
      <w:b/>
      <w:bCs/>
      <w:sz w:val="28"/>
      <w:szCs w:val="32"/>
      <w:lang w:eastAsia="en-US"/>
    </w:rPr>
  </w:style>
  <w:style w:type="character" w:customStyle="1" w:styleId="Heading3Char">
    <w:name w:val="Heading 3 Char"/>
    <w:link w:val="Heading3"/>
    <w:rsid w:val="00E031A5"/>
    <w:rPr>
      <w:rFonts w:ascii="Arial" w:hAnsi="Arial" w:cs="Arial"/>
      <w:b/>
      <w:bCs/>
      <w:i/>
      <w:sz w:val="24"/>
      <w:szCs w:val="28"/>
      <w:lang w:eastAsia="en-US"/>
    </w:rPr>
  </w:style>
  <w:style w:type="character" w:customStyle="1" w:styleId="FooterChar">
    <w:name w:val="Footer Char"/>
    <w:link w:val="Footer"/>
    <w:rsid w:val="00CA1467"/>
    <w:rPr>
      <w:rFonts w:ascii="Arial" w:hAnsi="Arial"/>
      <w:sz w:val="24"/>
      <w:szCs w:val="24"/>
      <w:lang w:val="en-US" w:eastAsia="en-US"/>
    </w:rPr>
  </w:style>
  <w:style w:type="character" w:customStyle="1" w:styleId="HeaderChar">
    <w:name w:val="Header Char"/>
    <w:link w:val="Header"/>
    <w:rsid w:val="00CA1467"/>
    <w:rPr>
      <w:rFonts w:ascii="Arial" w:hAnsi="Arial"/>
      <w:sz w:val="24"/>
      <w:lang w:eastAsia="en-US"/>
    </w:rPr>
  </w:style>
  <w:style w:type="character" w:customStyle="1" w:styleId="FootnoteTextChar">
    <w:name w:val="Footnote Text Char"/>
    <w:link w:val="FootnoteText"/>
    <w:semiHidden/>
    <w:rsid w:val="00CA1467"/>
    <w:rPr>
      <w:lang w:eastAsia="en-US"/>
    </w:rPr>
  </w:style>
  <w:style w:type="character" w:customStyle="1" w:styleId="BodyTextChar">
    <w:name w:val="Body Text Char"/>
    <w:link w:val="BodyText"/>
    <w:rsid w:val="00CA1467"/>
    <w:rPr>
      <w:rFonts w:ascii="Arial" w:hAnsi="Arial" w:cs="Arial"/>
      <w:i/>
      <w:iCs/>
      <w:sz w:val="24"/>
      <w:lang w:eastAsia="en-US"/>
    </w:rPr>
  </w:style>
  <w:style w:type="character" w:styleId="FollowedHyperlink">
    <w:name w:val="FollowedHyperlink"/>
    <w:rsid w:val="00CA1467"/>
    <w:rPr>
      <w:color w:val="800080"/>
      <w:u w:val="single"/>
    </w:rPr>
  </w:style>
  <w:style w:type="paragraph" w:customStyle="1" w:styleId="xmsonormal">
    <w:name w:val="x_msonormal"/>
    <w:basedOn w:val="Normal"/>
    <w:rsid w:val="0081223E"/>
    <w:rPr>
      <w:rFonts w:ascii="Calibri" w:eastAsia="Calibri" w:hAnsi="Calibri" w:cs="Calibri"/>
      <w:sz w:val="22"/>
      <w:szCs w:val="22"/>
      <w:lang w:eastAsia="en-GB"/>
    </w:rPr>
  </w:style>
  <w:style w:type="paragraph" w:customStyle="1" w:styleId="xmsolistparagraph">
    <w:name w:val="x_msolistparagraph"/>
    <w:basedOn w:val="Normal"/>
    <w:rsid w:val="0081223E"/>
    <w:pPr>
      <w:ind w:left="720"/>
    </w:pPr>
    <w:rPr>
      <w:rFonts w:ascii="Calibri" w:eastAsia="Calibri" w:hAnsi="Calibri" w:cs="Calibri"/>
      <w:sz w:val="22"/>
      <w:szCs w:val="22"/>
      <w:lang w:eastAsia="en-GB"/>
    </w:rPr>
  </w:style>
  <w:style w:type="character" w:styleId="Emphasis">
    <w:name w:val="Emphasis"/>
    <w:basedOn w:val="DefaultParagraphFont"/>
    <w:uiPriority w:val="20"/>
    <w:qFormat/>
    <w:rsid w:val="001D6997"/>
    <w:rPr>
      <w:i/>
      <w:iCs/>
    </w:rPr>
  </w:style>
  <w:style w:type="table" w:customStyle="1" w:styleId="Style1">
    <w:name w:val="Style1"/>
    <w:basedOn w:val="TableNormal"/>
    <w:uiPriority w:val="99"/>
    <w:rsid w:val="0039170C"/>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600">
      <w:bodyDiv w:val="1"/>
      <w:marLeft w:val="0"/>
      <w:marRight w:val="0"/>
      <w:marTop w:val="0"/>
      <w:marBottom w:val="0"/>
      <w:divBdr>
        <w:top w:val="none" w:sz="0" w:space="0" w:color="auto"/>
        <w:left w:val="none" w:sz="0" w:space="0" w:color="auto"/>
        <w:bottom w:val="none" w:sz="0" w:space="0" w:color="auto"/>
        <w:right w:val="none" w:sz="0" w:space="0" w:color="auto"/>
      </w:divBdr>
    </w:div>
    <w:div w:id="275796658">
      <w:bodyDiv w:val="1"/>
      <w:marLeft w:val="0"/>
      <w:marRight w:val="0"/>
      <w:marTop w:val="0"/>
      <w:marBottom w:val="0"/>
      <w:divBdr>
        <w:top w:val="none" w:sz="0" w:space="0" w:color="auto"/>
        <w:left w:val="none" w:sz="0" w:space="0" w:color="auto"/>
        <w:bottom w:val="none" w:sz="0" w:space="0" w:color="auto"/>
        <w:right w:val="none" w:sz="0" w:space="0" w:color="auto"/>
      </w:divBdr>
    </w:div>
    <w:div w:id="562830592">
      <w:bodyDiv w:val="1"/>
      <w:marLeft w:val="0"/>
      <w:marRight w:val="0"/>
      <w:marTop w:val="0"/>
      <w:marBottom w:val="0"/>
      <w:divBdr>
        <w:top w:val="none" w:sz="0" w:space="0" w:color="auto"/>
        <w:left w:val="none" w:sz="0" w:space="0" w:color="auto"/>
        <w:bottom w:val="none" w:sz="0" w:space="0" w:color="auto"/>
        <w:right w:val="none" w:sz="0" w:space="0" w:color="auto"/>
      </w:divBdr>
    </w:div>
    <w:div w:id="877547684">
      <w:bodyDiv w:val="1"/>
      <w:marLeft w:val="0"/>
      <w:marRight w:val="0"/>
      <w:marTop w:val="0"/>
      <w:marBottom w:val="0"/>
      <w:divBdr>
        <w:top w:val="none" w:sz="0" w:space="0" w:color="auto"/>
        <w:left w:val="none" w:sz="0" w:space="0" w:color="auto"/>
        <w:bottom w:val="none" w:sz="0" w:space="0" w:color="auto"/>
        <w:right w:val="none" w:sz="0" w:space="0" w:color="auto"/>
      </w:divBdr>
    </w:div>
    <w:div w:id="1673408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lective-licensing-in-the-private-rented-sector-a-guide-for-local-authorities" TargetMode="External"/><Relationship Id="rId20" Type="http://schemas.openxmlformats.org/officeDocument/2006/relationships/hyperlink" Target="mailto:Richard.lebrun@harrow.gov.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moserviceslondon.com/hmo-licensing-cos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harrow.gov.uk/downloads/file/26921/deprivation" TargetMode="External"/><Relationship Id="rId2" Type="http://schemas.openxmlformats.org/officeDocument/2006/relationships/hyperlink" Target="https://www.harrow.gov.uk/downloads/file/24321/environment" TargetMode="External"/><Relationship Id="rId1" Type="http://schemas.openxmlformats.org/officeDocument/2006/relationships/hyperlink" Target="https://www.harrow.gov.uk/downloads/file/24318/crime" TargetMode="External"/><Relationship Id="rId4" Type="http://schemas.openxmlformats.org/officeDocument/2006/relationships/hyperlink" Target="http://www.bailii.org/ew/cases/EWCA/Civ/2018/2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ef536f20f504078d849ea03a84af2d9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7bc9d46e72811a6e5dd66f73c88435e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0C7B-4A82-4953-81FE-AD2F63ECA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298FF-9271-444E-98C0-86492EAC9CF0}">
  <ds:schemaRefs>
    <ds:schemaRef ds:uri="http://schemas.microsoft.com/sharepoint/v3/contenttype/forms"/>
  </ds:schemaRefs>
</ds:datastoreItem>
</file>

<file path=customXml/itemProps3.xml><?xml version="1.0" encoding="utf-8"?>
<ds:datastoreItem xmlns:ds="http://schemas.openxmlformats.org/officeDocument/2006/customXml" ds:itemID="{0136D3AF-13A3-4209-A5D0-B58F676B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24</Pages>
  <Words>7402</Words>
  <Characters>42197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dharris</cp:lastModifiedBy>
  <cp:revision>31</cp:revision>
  <cp:lastPrinted>2015-06-15T05:57:00Z</cp:lastPrinted>
  <dcterms:created xsi:type="dcterms:W3CDTF">2021-02-08T09:27:00Z</dcterms:created>
  <dcterms:modified xsi:type="dcterms:W3CDTF">2021-05-19T12:52:00Z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